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5B0548" w:rsidRDefault="007743B7"/>
    <w:p w14:paraId="0A68FAA4" w14:textId="77777777" w:rsidR="00F60464" w:rsidRPr="005B0548"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5B0548" w14:paraId="6D619A3E" w14:textId="77777777" w:rsidTr="00C815C9">
        <w:trPr>
          <w:trHeight w:val="592"/>
        </w:trPr>
        <w:tc>
          <w:tcPr>
            <w:tcW w:w="702" w:type="dxa"/>
            <w:shd w:val="clear" w:color="auto" w:fill="auto"/>
            <w:vAlign w:val="center"/>
          </w:tcPr>
          <w:p w14:paraId="22690FFB" w14:textId="77777777" w:rsidR="00201506" w:rsidRPr="005B0548"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5B0548"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5B0548" w:rsidRDefault="00201506" w:rsidP="00794499">
            <w:pPr>
              <w:jc w:val="center"/>
              <w:rPr>
                <w:rFonts w:asciiTheme="minorHAnsi" w:hAnsiTheme="minorHAnsi"/>
              </w:rPr>
            </w:pPr>
          </w:p>
        </w:tc>
      </w:tr>
      <w:tr w:rsidR="00201506" w:rsidRPr="005B0548"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5B0548"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1E433928" w14:textId="53398238" w:rsidR="005F6900" w:rsidRPr="005B0548" w:rsidRDefault="005F6900" w:rsidP="005F6900">
            <w:pPr>
              <w:jc w:val="center"/>
              <w:rPr>
                <w:rFonts w:asciiTheme="minorHAnsi" w:hAnsiTheme="minorHAnsi"/>
                <w:b/>
                <w:bCs/>
                <w:color w:val="FFFFFF" w:themeColor="background1"/>
                <w:sz w:val="40"/>
                <w:szCs w:val="40"/>
              </w:rPr>
            </w:pPr>
            <w:r w:rsidRPr="005B0548">
              <w:rPr>
                <w:rFonts w:asciiTheme="minorHAnsi" w:hAnsiTheme="minorHAnsi"/>
                <w:b/>
                <w:bCs/>
                <w:color w:val="FFFFFF" w:themeColor="background1"/>
                <w:sz w:val="40"/>
                <w:szCs w:val="40"/>
              </w:rPr>
              <w:t>ОЗЕЛЕЊАВАЊЕ ПОСЛОВАЊА</w:t>
            </w:r>
          </w:p>
          <w:p w14:paraId="666ADA5D" w14:textId="77777777" w:rsidR="005F6900" w:rsidRPr="005B0548" w:rsidRDefault="005F6900" w:rsidP="005F6900">
            <w:pPr>
              <w:jc w:val="center"/>
              <w:rPr>
                <w:rFonts w:asciiTheme="minorHAnsi" w:hAnsiTheme="minorHAnsi"/>
                <w:b/>
                <w:bCs/>
                <w:color w:val="FFFFFF" w:themeColor="background1"/>
                <w:sz w:val="40"/>
                <w:szCs w:val="40"/>
              </w:rPr>
            </w:pPr>
          </w:p>
          <w:p w14:paraId="154717B4" w14:textId="155FFB95" w:rsidR="00D02296" w:rsidRPr="005B0548" w:rsidRDefault="005F6900" w:rsidP="005F6900">
            <w:pPr>
              <w:jc w:val="center"/>
              <w:rPr>
                <w:rFonts w:asciiTheme="minorHAnsi" w:hAnsiTheme="minorHAnsi"/>
                <w:b/>
                <w:bCs/>
                <w:color w:val="FFFFFF" w:themeColor="background1"/>
                <w:sz w:val="40"/>
                <w:szCs w:val="40"/>
              </w:rPr>
            </w:pPr>
            <w:r w:rsidRPr="005B0548">
              <w:rPr>
                <w:rFonts w:asciiTheme="minorHAnsi" w:hAnsiTheme="minorHAnsi"/>
                <w:b/>
                <w:bCs/>
                <w:color w:val="FFFFFF" w:themeColor="background1"/>
                <w:sz w:val="40"/>
                <w:szCs w:val="40"/>
              </w:rPr>
              <w:t>ВОДИЧ ЗА ЗЕЛЕНО ФИНАНСИРАЊЕ  - СРБИЈА</w:t>
            </w:r>
          </w:p>
        </w:tc>
        <w:tc>
          <w:tcPr>
            <w:tcW w:w="717" w:type="dxa"/>
            <w:tcBorders>
              <w:left w:val="single" w:sz="12" w:space="0" w:color="008000"/>
            </w:tcBorders>
            <w:shd w:val="clear" w:color="auto" w:fill="auto"/>
            <w:vAlign w:val="center"/>
          </w:tcPr>
          <w:p w14:paraId="63650B16" w14:textId="77777777" w:rsidR="00201506" w:rsidRPr="005B0548" w:rsidRDefault="00201506" w:rsidP="00794499">
            <w:pPr>
              <w:jc w:val="center"/>
              <w:rPr>
                <w:rFonts w:asciiTheme="minorHAnsi" w:hAnsiTheme="minorHAnsi"/>
              </w:rPr>
            </w:pPr>
          </w:p>
        </w:tc>
      </w:tr>
      <w:tr w:rsidR="00201506" w:rsidRPr="005B0548" w14:paraId="73BC8281" w14:textId="77777777" w:rsidTr="00C815C9">
        <w:trPr>
          <w:trHeight w:val="592"/>
        </w:trPr>
        <w:tc>
          <w:tcPr>
            <w:tcW w:w="702" w:type="dxa"/>
            <w:shd w:val="clear" w:color="auto" w:fill="auto"/>
            <w:vAlign w:val="center"/>
          </w:tcPr>
          <w:p w14:paraId="316C697A" w14:textId="77777777" w:rsidR="00201506" w:rsidRPr="005B0548"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5B0548"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5B0548" w:rsidRDefault="00201506" w:rsidP="00794499">
            <w:pPr>
              <w:jc w:val="center"/>
              <w:rPr>
                <w:rFonts w:asciiTheme="minorHAnsi" w:hAnsiTheme="minorHAnsi"/>
              </w:rPr>
            </w:pPr>
          </w:p>
        </w:tc>
      </w:tr>
    </w:tbl>
    <w:p w14:paraId="03F891E0" w14:textId="77777777" w:rsidR="007743B7" w:rsidRPr="005B0548" w:rsidRDefault="007743B7"/>
    <w:p w14:paraId="4696AAE5" w14:textId="77777777" w:rsidR="00F60464" w:rsidRPr="005B0548" w:rsidRDefault="00F60464"/>
    <w:p w14:paraId="39D3791F" w14:textId="1E8B4EF7" w:rsidR="00F05BAE" w:rsidRPr="005B0548" w:rsidRDefault="002B5C60" w:rsidP="00F05BAE">
      <w:pPr>
        <w:rPr>
          <w:b/>
          <w:bCs/>
        </w:rPr>
      </w:pPr>
      <w:r w:rsidRPr="005B0548">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5B0548" w14:paraId="2B89766E" w14:textId="77777777" w:rsidTr="007743B7">
        <w:trPr>
          <w:trHeight w:val="439"/>
        </w:trPr>
        <w:tc>
          <w:tcPr>
            <w:tcW w:w="2518" w:type="dxa"/>
            <w:shd w:val="clear" w:color="auto" w:fill="C6D9F1" w:themeFill="text2" w:themeFillTint="33"/>
            <w:vAlign w:val="center"/>
          </w:tcPr>
          <w:p w14:paraId="00DA7095" w14:textId="071455D6" w:rsidR="00F05BAE" w:rsidRPr="005B0548" w:rsidRDefault="002B5C60" w:rsidP="00794499">
            <w:pPr>
              <w:jc w:val="both"/>
              <w:rPr>
                <w:rFonts w:asciiTheme="minorHAnsi" w:hAnsiTheme="minorHAnsi"/>
              </w:rPr>
            </w:pPr>
            <w:r w:rsidRPr="005B0548">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5B0548" w:rsidRDefault="002C508E" w:rsidP="00794499">
                <w:pPr>
                  <w:rPr>
                    <w:rFonts w:asciiTheme="minorHAnsi" w:hAnsiTheme="minorHAnsi"/>
                  </w:rPr>
                </w:pPr>
                <w:r w:rsidRPr="005B0548">
                  <w:rPr>
                    <w:rFonts w:asciiTheme="minorHAnsi" w:hAnsiTheme="minorHAnsi"/>
                  </w:rPr>
                  <w:t>А5 Развој едукативних алата за озелењавање пословања</w:t>
                </w:r>
              </w:p>
            </w:tc>
          </w:sdtContent>
        </w:sdt>
      </w:tr>
      <w:tr w:rsidR="0091348E" w:rsidRPr="005B0548" w14:paraId="35D789BF" w14:textId="77777777" w:rsidTr="007743B7">
        <w:trPr>
          <w:trHeight w:val="439"/>
        </w:trPr>
        <w:tc>
          <w:tcPr>
            <w:tcW w:w="2518" w:type="dxa"/>
            <w:shd w:val="clear" w:color="auto" w:fill="C6D9F1" w:themeFill="text2" w:themeFillTint="33"/>
            <w:vAlign w:val="center"/>
          </w:tcPr>
          <w:p w14:paraId="5391220B" w14:textId="4AD0286A" w:rsidR="006F315F" w:rsidRPr="005B0548" w:rsidRDefault="006F315F" w:rsidP="006F315F">
            <w:pPr>
              <w:jc w:val="both"/>
              <w:rPr>
                <w:rFonts w:asciiTheme="minorHAnsi" w:hAnsiTheme="minorHAnsi"/>
              </w:rPr>
            </w:pPr>
            <w:r w:rsidRPr="005B0548">
              <w:rPr>
                <w:rFonts w:asciiTheme="minorHAnsi" w:hAnsiTheme="minorHAnsi"/>
              </w:rPr>
              <w:t>Тип документа:</w:t>
            </w:r>
          </w:p>
        </w:tc>
        <w:tc>
          <w:tcPr>
            <w:tcW w:w="7360" w:type="dxa"/>
            <w:vAlign w:val="center"/>
          </w:tcPr>
          <w:p w14:paraId="01D3CFCD" w14:textId="57A84C23" w:rsidR="006F315F" w:rsidRPr="005B0548" w:rsidRDefault="002C508E" w:rsidP="006F315F">
            <w:pPr>
              <w:rPr>
                <w:rFonts w:asciiTheme="minorHAnsi" w:hAnsiTheme="minorHAnsi"/>
              </w:rPr>
            </w:pPr>
            <w:r w:rsidRPr="005B0548">
              <w:rPr>
                <w:rFonts w:asciiTheme="minorHAnsi" w:hAnsiTheme="minorHAnsi"/>
              </w:rPr>
              <w:t>Тренинг материјал</w:t>
            </w:r>
          </w:p>
        </w:tc>
      </w:tr>
      <w:tr w:rsidR="0091348E" w:rsidRPr="005B0548" w14:paraId="4B7B7ED8" w14:textId="77777777" w:rsidTr="007743B7">
        <w:trPr>
          <w:trHeight w:val="439"/>
        </w:trPr>
        <w:tc>
          <w:tcPr>
            <w:tcW w:w="2518" w:type="dxa"/>
            <w:shd w:val="clear" w:color="auto" w:fill="C6D9F1" w:themeFill="text2" w:themeFillTint="33"/>
            <w:vAlign w:val="center"/>
          </w:tcPr>
          <w:p w14:paraId="05D28059" w14:textId="41C72A85" w:rsidR="007743B7" w:rsidRPr="005B0548" w:rsidRDefault="007743B7" w:rsidP="007743B7">
            <w:pPr>
              <w:jc w:val="both"/>
              <w:rPr>
                <w:rFonts w:asciiTheme="minorHAnsi" w:hAnsiTheme="minorHAnsi"/>
              </w:rPr>
            </w:pPr>
            <w:r w:rsidRPr="005B0548">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5B0548" w:rsidRDefault="002C508E" w:rsidP="007743B7">
                <w:pPr>
                  <w:rPr>
                    <w:rFonts w:asciiTheme="minorHAnsi" w:hAnsiTheme="minorHAnsi"/>
                  </w:rPr>
                </w:pPr>
                <w:r w:rsidRPr="005B0548">
                  <w:rPr>
                    <w:rFonts w:asciiTheme="minorHAnsi" w:hAnsiTheme="minorHAnsi"/>
                  </w:rPr>
                  <w:t>Центар за развој Јабланичког и Пчињског округа Лесковац Србија</w:t>
                </w:r>
              </w:p>
            </w:tc>
          </w:sdtContent>
        </w:sdt>
      </w:tr>
      <w:tr w:rsidR="0091348E" w:rsidRPr="005B0548" w14:paraId="6D1BD434" w14:textId="77777777" w:rsidTr="007743B7">
        <w:trPr>
          <w:trHeight w:val="439"/>
        </w:trPr>
        <w:tc>
          <w:tcPr>
            <w:tcW w:w="2518" w:type="dxa"/>
            <w:shd w:val="clear" w:color="auto" w:fill="C6D9F1" w:themeFill="text2" w:themeFillTint="33"/>
            <w:vAlign w:val="center"/>
          </w:tcPr>
          <w:p w14:paraId="5F063FEE" w14:textId="7C2D3243" w:rsidR="007743B7" w:rsidRPr="005B0548" w:rsidRDefault="007743B7" w:rsidP="007743B7">
            <w:pPr>
              <w:jc w:val="both"/>
              <w:rPr>
                <w:rFonts w:asciiTheme="minorHAnsi" w:hAnsiTheme="minorHAnsi"/>
              </w:rPr>
            </w:pPr>
            <w:r w:rsidRPr="005B0548">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5B0548" w:rsidRDefault="007743B7" w:rsidP="007743B7">
                <w:pPr>
                  <w:jc w:val="both"/>
                  <w:rPr>
                    <w:rFonts w:asciiTheme="minorHAnsi" w:hAnsiTheme="minorHAnsi"/>
                  </w:rPr>
                </w:pPr>
                <w:r w:rsidRPr="005B0548">
                  <w:rPr>
                    <w:rFonts w:asciiTheme="minorHAnsi" w:hAnsiTheme="minorHAnsi"/>
                  </w:rPr>
                  <w:t>Јавни</w:t>
                </w:r>
              </w:p>
            </w:tc>
          </w:sdtContent>
        </w:sdt>
      </w:tr>
    </w:tbl>
    <w:p w14:paraId="7FC944C6" w14:textId="77777777" w:rsidR="001B5FE5" w:rsidRPr="005B0548" w:rsidRDefault="001B5FE5"/>
    <w:p w14:paraId="08F2833C" w14:textId="5AA144E6" w:rsidR="007743B7" w:rsidRPr="005B0548" w:rsidRDefault="007743B7">
      <w:r w:rsidRPr="005B0548">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5B0548"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5B0548" w:rsidRDefault="007743B7" w:rsidP="00794499">
            <w:pPr>
              <w:spacing w:before="60" w:after="60"/>
              <w:jc w:val="center"/>
              <w:rPr>
                <w:rFonts w:asciiTheme="minorHAnsi" w:hAnsiTheme="minorHAnsi"/>
              </w:rPr>
            </w:pPr>
            <w:r w:rsidRPr="005B0548">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5B0548" w:rsidRDefault="007743B7" w:rsidP="00794499">
            <w:pPr>
              <w:spacing w:before="60" w:after="60"/>
              <w:jc w:val="center"/>
              <w:rPr>
                <w:rFonts w:asciiTheme="minorHAnsi" w:hAnsiTheme="minorHAnsi"/>
              </w:rPr>
            </w:pPr>
            <w:r w:rsidRPr="005B0548">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5B0548" w:rsidRDefault="007743B7" w:rsidP="00794499">
            <w:pPr>
              <w:spacing w:before="60" w:after="60"/>
              <w:jc w:val="center"/>
              <w:rPr>
                <w:rFonts w:asciiTheme="minorHAnsi" w:hAnsiTheme="minorHAnsi"/>
              </w:rPr>
            </w:pPr>
            <w:r w:rsidRPr="005B0548">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5B0548" w:rsidRDefault="007743B7" w:rsidP="00794499">
            <w:pPr>
              <w:spacing w:before="60" w:after="60"/>
              <w:jc w:val="center"/>
              <w:rPr>
                <w:rFonts w:asciiTheme="minorHAnsi" w:hAnsiTheme="minorHAnsi"/>
              </w:rPr>
            </w:pPr>
            <w:r w:rsidRPr="005B0548">
              <w:rPr>
                <w:rFonts w:asciiTheme="minorHAnsi" w:hAnsiTheme="minorHAnsi"/>
              </w:rPr>
              <w:t>Аутор(и)</w:t>
            </w:r>
          </w:p>
        </w:tc>
      </w:tr>
      <w:tr w:rsidR="00787C68" w:rsidRPr="005B0548" w14:paraId="67A228A8" w14:textId="77777777" w:rsidTr="003222E9">
        <w:tc>
          <w:tcPr>
            <w:tcW w:w="2469" w:type="dxa"/>
            <w:vAlign w:val="center"/>
          </w:tcPr>
          <w:p w14:paraId="035EE6F5" w14:textId="77777777" w:rsidR="00787C68" w:rsidRPr="005B0548" w:rsidRDefault="00787C68" w:rsidP="003222E9">
            <w:pPr>
              <w:spacing w:before="60" w:after="60"/>
              <w:jc w:val="center"/>
              <w:rPr>
                <w:rFonts w:asciiTheme="minorHAnsi" w:hAnsiTheme="minorHAnsi"/>
              </w:rPr>
            </w:pPr>
            <w:r w:rsidRPr="005B0548">
              <w:rPr>
                <w:rFonts w:asciiTheme="minorHAnsi" w:hAnsiTheme="minorHAnsi"/>
              </w:rPr>
              <w:t>v1.0</w:t>
            </w:r>
          </w:p>
        </w:tc>
        <w:tc>
          <w:tcPr>
            <w:tcW w:w="2470" w:type="dxa"/>
            <w:vAlign w:val="center"/>
          </w:tcPr>
          <w:p w14:paraId="6ACF084A" w14:textId="00F10DA3" w:rsidR="00787C68" w:rsidRPr="005B0548" w:rsidRDefault="0091117F" w:rsidP="003222E9">
            <w:pPr>
              <w:spacing w:before="60" w:after="60"/>
              <w:jc w:val="center"/>
              <w:rPr>
                <w:rFonts w:asciiTheme="minorHAnsi" w:hAnsiTheme="minorHAnsi"/>
              </w:rPr>
            </w:pPr>
            <w:r w:rsidRPr="005B0548">
              <w:rPr>
                <w:rFonts w:asciiTheme="minorHAnsi" w:hAnsiTheme="minorHAnsi"/>
              </w:rPr>
              <w:t>0</w:t>
            </w:r>
            <w:r w:rsidR="002C508E" w:rsidRPr="005B0548">
              <w:rPr>
                <w:rFonts w:asciiTheme="minorHAnsi" w:hAnsiTheme="minorHAnsi"/>
              </w:rPr>
              <w:t>4</w:t>
            </w:r>
            <w:r w:rsidR="00787C68" w:rsidRPr="005B0548">
              <w:rPr>
                <w:rFonts w:asciiTheme="minorHAnsi" w:hAnsiTheme="minorHAnsi"/>
              </w:rPr>
              <w:t>.0</w:t>
            </w:r>
            <w:r w:rsidR="002C508E" w:rsidRPr="005B0548">
              <w:rPr>
                <w:rFonts w:asciiTheme="minorHAnsi" w:hAnsiTheme="minorHAnsi"/>
              </w:rPr>
              <w:t>2</w:t>
            </w:r>
            <w:r w:rsidR="00787C68" w:rsidRPr="005B0548">
              <w:rPr>
                <w:rFonts w:asciiTheme="minorHAnsi" w:hAnsiTheme="minorHAnsi"/>
              </w:rPr>
              <w:t>.202</w:t>
            </w:r>
            <w:r w:rsidRPr="005B0548">
              <w:rPr>
                <w:rFonts w:asciiTheme="minorHAnsi" w:hAnsiTheme="minorHAnsi"/>
              </w:rPr>
              <w:t>5</w:t>
            </w:r>
            <w:r w:rsidR="00787C68" w:rsidRPr="005B0548">
              <w:rPr>
                <w:rFonts w:asciiTheme="minorHAnsi" w:hAnsiTheme="minorHAnsi"/>
              </w:rPr>
              <w:t>.г.</w:t>
            </w:r>
          </w:p>
        </w:tc>
        <w:tc>
          <w:tcPr>
            <w:tcW w:w="2470" w:type="dxa"/>
            <w:vAlign w:val="center"/>
          </w:tcPr>
          <w:p w14:paraId="237DDD12" w14:textId="7A5DEAC4" w:rsidR="00787C68" w:rsidRPr="005B0548" w:rsidRDefault="00787C68" w:rsidP="003222E9">
            <w:pPr>
              <w:spacing w:before="60" w:after="60"/>
              <w:jc w:val="center"/>
              <w:rPr>
                <w:rFonts w:asciiTheme="minorHAnsi" w:hAnsiTheme="minorHAnsi"/>
              </w:rPr>
            </w:pPr>
            <w:r w:rsidRPr="005B0548">
              <w:rPr>
                <w:rFonts w:asciiTheme="minorHAnsi" w:hAnsiTheme="minorHAnsi"/>
              </w:rPr>
              <w:t>Нацрт</w:t>
            </w:r>
          </w:p>
        </w:tc>
        <w:tc>
          <w:tcPr>
            <w:tcW w:w="2470" w:type="dxa"/>
            <w:vMerge w:val="restart"/>
            <w:vAlign w:val="center"/>
          </w:tcPr>
          <w:p w14:paraId="2E96BB74" w14:textId="30560612" w:rsidR="00787C68" w:rsidRPr="005B0548" w:rsidRDefault="000E5568">
            <w:pPr>
              <w:pStyle w:val="ListParagraph"/>
              <w:numPr>
                <w:ilvl w:val="0"/>
                <w:numId w:val="1"/>
              </w:numPr>
              <w:spacing w:before="60" w:after="60"/>
              <w:rPr>
                <w:rFonts w:asciiTheme="minorHAnsi" w:hAnsiTheme="minorHAnsi"/>
                <w:sz w:val="20"/>
                <w:szCs w:val="20"/>
              </w:rPr>
            </w:pPr>
            <w:r w:rsidRPr="005B0548">
              <w:rPr>
                <w:rFonts w:asciiTheme="minorHAnsi" w:hAnsiTheme="minorHAnsi"/>
                <w:sz w:val="20"/>
                <w:szCs w:val="20"/>
              </w:rPr>
              <w:t>ПМТ</w:t>
            </w:r>
          </w:p>
        </w:tc>
      </w:tr>
      <w:tr w:rsidR="00787C68" w:rsidRPr="005B0548" w14:paraId="1345F947" w14:textId="77777777" w:rsidTr="00794499">
        <w:tc>
          <w:tcPr>
            <w:tcW w:w="2469" w:type="dxa"/>
            <w:vAlign w:val="bottom"/>
          </w:tcPr>
          <w:p w14:paraId="52FE94DD" w14:textId="77777777" w:rsidR="00787C68" w:rsidRPr="005B0548" w:rsidRDefault="00787C68" w:rsidP="00794499">
            <w:pPr>
              <w:spacing w:before="60" w:after="60"/>
              <w:jc w:val="center"/>
              <w:rPr>
                <w:rFonts w:asciiTheme="minorHAnsi" w:hAnsiTheme="minorHAnsi"/>
              </w:rPr>
            </w:pPr>
            <w:r w:rsidRPr="005B0548">
              <w:rPr>
                <w:rFonts w:asciiTheme="minorHAnsi" w:hAnsiTheme="minorHAnsi"/>
              </w:rPr>
              <w:t>v 2.0</w:t>
            </w:r>
          </w:p>
        </w:tc>
        <w:tc>
          <w:tcPr>
            <w:tcW w:w="2470" w:type="dxa"/>
            <w:vAlign w:val="center"/>
          </w:tcPr>
          <w:p w14:paraId="0BA1C857" w14:textId="55F4857A" w:rsidR="00787C68" w:rsidRPr="005B0548" w:rsidRDefault="005F6900" w:rsidP="00794499">
            <w:pPr>
              <w:spacing w:before="60" w:after="60"/>
              <w:jc w:val="center"/>
              <w:rPr>
                <w:rFonts w:asciiTheme="minorHAnsi" w:hAnsiTheme="minorHAnsi"/>
              </w:rPr>
            </w:pPr>
            <w:r w:rsidRPr="005B0548">
              <w:rPr>
                <w:rFonts w:asciiTheme="minorHAnsi" w:hAnsiTheme="minorHAnsi"/>
              </w:rPr>
              <w:t>11.04.2025.г.</w:t>
            </w:r>
          </w:p>
        </w:tc>
        <w:tc>
          <w:tcPr>
            <w:tcW w:w="2470" w:type="dxa"/>
            <w:vAlign w:val="bottom"/>
          </w:tcPr>
          <w:p w14:paraId="588F7437" w14:textId="77777777" w:rsidR="00787C68" w:rsidRPr="005B0548" w:rsidRDefault="00787C68" w:rsidP="009720F5">
            <w:pPr>
              <w:spacing w:before="60" w:after="60"/>
              <w:jc w:val="center"/>
              <w:rPr>
                <w:rFonts w:asciiTheme="minorHAnsi" w:hAnsiTheme="minorHAnsi"/>
              </w:rPr>
            </w:pPr>
            <w:r w:rsidRPr="005B0548">
              <w:rPr>
                <w:rFonts w:asciiTheme="minorHAnsi" w:hAnsiTheme="minorHAnsi"/>
              </w:rPr>
              <w:t>Финална верзија</w:t>
            </w:r>
          </w:p>
        </w:tc>
        <w:tc>
          <w:tcPr>
            <w:tcW w:w="2470" w:type="dxa"/>
            <w:vMerge/>
            <w:vAlign w:val="center"/>
          </w:tcPr>
          <w:p w14:paraId="126A4E2E" w14:textId="17B4135B" w:rsidR="00787C68" w:rsidRPr="005B0548" w:rsidRDefault="00787C68" w:rsidP="00787C68">
            <w:pPr>
              <w:spacing w:before="60" w:after="60"/>
              <w:jc w:val="center"/>
              <w:rPr>
                <w:rFonts w:asciiTheme="minorHAnsi" w:hAnsiTheme="minorHAnsi"/>
              </w:rPr>
            </w:pPr>
          </w:p>
        </w:tc>
      </w:tr>
    </w:tbl>
    <w:p w14:paraId="228CC9A4" w14:textId="77777777" w:rsidR="001B5FE5" w:rsidRPr="005B0548" w:rsidRDefault="001B5FE5"/>
    <w:p w14:paraId="3DBB43FD" w14:textId="77777777" w:rsidR="00787C68" w:rsidRPr="005B0548"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5B0548" w14:paraId="2EABAC36" w14:textId="77777777" w:rsidTr="001B5FE5">
        <w:tc>
          <w:tcPr>
            <w:tcW w:w="9879" w:type="dxa"/>
          </w:tcPr>
          <w:p w14:paraId="5A41F047" w14:textId="12D8220C" w:rsidR="001B5FE5" w:rsidRPr="005B0548" w:rsidRDefault="001B5FE5" w:rsidP="001B5FE5">
            <w:pPr>
              <w:tabs>
                <w:tab w:val="left" w:pos="5724"/>
              </w:tabs>
              <w:jc w:val="both"/>
              <w:rPr>
                <w:b/>
                <w:bCs/>
              </w:rPr>
            </w:pPr>
            <w:r w:rsidRPr="005B0548">
              <w:rPr>
                <w:b/>
                <w:bCs/>
              </w:rPr>
              <w:t>Одрицање одговорности:</w:t>
            </w:r>
          </w:p>
        </w:tc>
      </w:tr>
      <w:tr w:rsidR="00F60464" w:rsidRPr="005B0548" w14:paraId="40749F26" w14:textId="77777777" w:rsidTr="001B5FE5">
        <w:tc>
          <w:tcPr>
            <w:tcW w:w="9879" w:type="dxa"/>
          </w:tcPr>
          <w:p w14:paraId="0AFA53FC" w14:textId="089EEEF8" w:rsidR="001B5FE5" w:rsidRPr="005B0548" w:rsidRDefault="001B5FE5" w:rsidP="001B5FE5">
            <w:pPr>
              <w:tabs>
                <w:tab w:val="left" w:pos="5724"/>
              </w:tabs>
              <w:jc w:val="both"/>
            </w:pPr>
            <w:r w:rsidRPr="005B0548">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5B0548">
              <w:t>Темпус</w:t>
            </w:r>
            <w:proofErr w:type="spellEnd"/>
            <w:r w:rsidRPr="005B0548">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Pr="005B0548" w:rsidRDefault="007743B7" w:rsidP="007743B7"/>
    <w:p w14:paraId="289F56DD" w14:textId="77777777" w:rsidR="005F6900" w:rsidRPr="005B0548" w:rsidRDefault="005F6900" w:rsidP="005F6900">
      <w:pPr>
        <w:rPr>
          <w:rFonts w:asciiTheme="minorHAnsi" w:hAnsiTheme="minorHAnsi"/>
        </w:rPr>
      </w:pPr>
    </w:p>
    <w:sdt>
      <w:sdtPr>
        <w:rPr>
          <w:rFonts w:asciiTheme="minorHAnsi" w:eastAsia="Times New Roman" w:hAnsiTheme="minorHAnsi" w:cstheme="minorHAnsi"/>
          <w:color w:val="auto"/>
          <w:sz w:val="22"/>
          <w:szCs w:val="22"/>
          <w:lang w:val="sr-Cyrl-RS"/>
        </w:rPr>
        <w:id w:val="1715770131"/>
        <w:docPartObj>
          <w:docPartGallery w:val="Table of Contents"/>
          <w:docPartUnique/>
        </w:docPartObj>
      </w:sdtPr>
      <w:sdtEndPr>
        <w:rPr>
          <w:b/>
          <w:bCs/>
        </w:rPr>
      </w:sdtEndPr>
      <w:sdtContent>
        <w:p w14:paraId="03D42F9C" w14:textId="77777777" w:rsidR="005F6900" w:rsidRPr="005B0548" w:rsidRDefault="005F6900" w:rsidP="005F6900">
          <w:pPr>
            <w:pStyle w:val="TOCHeading"/>
            <w:rPr>
              <w:rFonts w:asciiTheme="minorHAnsi" w:hAnsiTheme="minorHAnsi" w:cstheme="minorHAnsi"/>
              <w:color w:val="008000"/>
              <w:sz w:val="22"/>
              <w:szCs w:val="22"/>
              <w:lang w:val="sr-Cyrl-RS"/>
            </w:rPr>
          </w:pPr>
          <w:r w:rsidRPr="005B0548">
            <w:rPr>
              <w:rFonts w:asciiTheme="minorHAnsi" w:hAnsiTheme="minorHAnsi" w:cstheme="minorHAnsi"/>
              <w:b/>
              <w:bCs/>
              <w:color w:val="008000"/>
              <w:sz w:val="22"/>
              <w:szCs w:val="22"/>
              <w:lang w:val="sr-Cyrl-RS"/>
            </w:rPr>
            <w:t>Садржај</w:t>
          </w:r>
        </w:p>
        <w:p w14:paraId="7E33268B" w14:textId="77777777" w:rsidR="005F6900" w:rsidRPr="005B0548" w:rsidRDefault="005F6900" w:rsidP="005F6900">
          <w:pPr>
            <w:rPr>
              <w:rFonts w:asciiTheme="minorHAnsi" w:hAnsiTheme="minorHAnsi"/>
            </w:rPr>
          </w:pPr>
        </w:p>
        <w:p w14:paraId="55E01AF3" w14:textId="0642EA88" w:rsidR="00B126A5" w:rsidRDefault="005F6900">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r w:rsidRPr="005B0548">
            <w:rPr>
              <w:rFonts w:asciiTheme="minorHAnsi" w:hAnsiTheme="minorHAnsi"/>
              <w:lang w:val="sr-Cyrl-RS"/>
            </w:rPr>
            <w:fldChar w:fldCharType="begin"/>
          </w:r>
          <w:r w:rsidRPr="005B0548">
            <w:rPr>
              <w:rFonts w:asciiTheme="minorHAnsi" w:hAnsiTheme="minorHAnsi"/>
              <w:lang w:val="sr-Cyrl-RS"/>
            </w:rPr>
            <w:instrText xml:space="preserve"> TOC \o "1-3" \h \z \u </w:instrText>
          </w:r>
          <w:r w:rsidRPr="005B0548">
            <w:rPr>
              <w:rFonts w:asciiTheme="minorHAnsi" w:hAnsiTheme="minorHAnsi"/>
              <w:lang w:val="sr-Cyrl-RS"/>
            </w:rPr>
            <w:fldChar w:fldCharType="separate"/>
          </w:r>
          <w:hyperlink w:anchor="_Toc195167988" w:history="1">
            <w:r w:rsidR="00B126A5" w:rsidRPr="00EE7B8C">
              <w:rPr>
                <w:rStyle w:val="Hyperlink"/>
                <w:b/>
                <w:bCs/>
                <w:noProof/>
              </w:rPr>
              <w:t>1. Увод</w:t>
            </w:r>
            <w:r w:rsidR="00B126A5">
              <w:rPr>
                <w:noProof/>
                <w:webHidden/>
              </w:rPr>
              <w:tab/>
            </w:r>
            <w:r w:rsidR="00B126A5">
              <w:rPr>
                <w:noProof/>
                <w:webHidden/>
              </w:rPr>
              <w:fldChar w:fldCharType="begin"/>
            </w:r>
            <w:r w:rsidR="00B126A5">
              <w:rPr>
                <w:noProof/>
                <w:webHidden/>
              </w:rPr>
              <w:instrText xml:space="preserve"> PAGEREF _Toc195167988 \h </w:instrText>
            </w:r>
            <w:r w:rsidR="00B126A5">
              <w:rPr>
                <w:noProof/>
                <w:webHidden/>
              </w:rPr>
            </w:r>
            <w:r w:rsidR="00B126A5">
              <w:rPr>
                <w:noProof/>
                <w:webHidden/>
              </w:rPr>
              <w:fldChar w:fldCharType="separate"/>
            </w:r>
            <w:r w:rsidR="00B126A5">
              <w:rPr>
                <w:noProof/>
                <w:webHidden/>
              </w:rPr>
              <w:t>2</w:t>
            </w:r>
            <w:r w:rsidR="00B126A5">
              <w:rPr>
                <w:noProof/>
                <w:webHidden/>
              </w:rPr>
              <w:fldChar w:fldCharType="end"/>
            </w:r>
          </w:hyperlink>
        </w:p>
        <w:p w14:paraId="1176D2D1" w14:textId="03353B6B" w:rsidR="00B126A5" w:rsidRDefault="00B126A5">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89" w:history="1">
            <w:r w:rsidRPr="00EE7B8C">
              <w:rPr>
                <w:rStyle w:val="Hyperlink"/>
                <w:b/>
                <w:bCs/>
                <w:noProof/>
              </w:rPr>
              <w:t>2. Зелено финансирање малих и средњих предузећа и предузетника</w:t>
            </w:r>
            <w:r>
              <w:rPr>
                <w:noProof/>
                <w:webHidden/>
              </w:rPr>
              <w:tab/>
            </w:r>
            <w:r>
              <w:rPr>
                <w:noProof/>
                <w:webHidden/>
              </w:rPr>
              <w:fldChar w:fldCharType="begin"/>
            </w:r>
            <w:r>
              <w:rPr>
                <w:noProof/>
                <w:webHidden/>
              </w:rPr>
              <w:instrText xml:space="preserve"> PAGEREF _Toc195167989 \h </w:instrText>
            </w:r>
            <w:r>
              <w:rPr>
                <w:noProof/>
                <w:webHidden/>
              </w:rPr>
            </w:r>
            <w:r>
              <w:rPr>
                <w:noProof/>
                <w:webHidden/>
              </w:rPr>
              <w:fldChar w:fldCharType="separate"/>
            </w:r>
            <w:r>
              <w:rPr>
                <w:noProof/>
                <w:webHidden/>
              </w:rPr>
              <w:t>4</w:t>
            </w:r>
            <w:r>
              <w:rPr>
                <w:noProof/>
                <w:webHidden/>
              </w:rPr>
              <w:fldChar w:fldCharType="end"/>
            </w:r>
          </w:hyperlink>
        </w:p>
        <w:p w14:paraId="16825D0B" w14:textId="1298962C" w:rsidR="00B126A5" w:rsidRDefault="00B126A5">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0" w:history="1">
            <w:r w:rsidRPr="00EE7B8C">
              <w:rPr>
                <w:rStyle w:val="Hyperlink"/>
                <w:b/>
                <w:noProof/>
              </w:rPr>
              <w:t>3. Озелењавање пословања, принципи и критеријуми  зеленог финансирања</w:t>
            </w:r>
            <w:r>
              <w:rPr>
                <w:noProof/>
                <w:webHidden/>
              </w:rPr>
              <w:tab/>
            </w:r>
            <w:r>
              <w:rPr>
                <w:noProof/>
                <w:webHidden/>
              </w:rPr>
              <w:fldChar w:fldCharType="begin"/>
            </w:r>
            <w:r>
              <w:rPr>
                <w:noProof/>
                <w:webHidden/>
              </w:rPr>
              <w:instrText xml:space="preserve"> PAGEREF _Toc195167990 \h </w:instrText>
            </w:r>
            <w:r>
              <w:rPr>
                <w:noProof/>
                <w:webHidden/>
              </w:rPr>
            </w:r>
            <w:r>
              <w:rPr>
                <w:noProof/>
                <w:webHidden/>
              </w:rPr>
              <w:fldChar w:fldCharType="separate"/>
            </w:r>
            <w:r>
              <w:rPr>
                <w:noProof/>
                <w:webHidden/>
              </w:rPr>
              <w:t>8</w:t>
            </w:r>
            <w:r>
              <w:rPr>
                <w:noProof/>
                <w:webHidden/>
              </w:rPr>
              <w:fldChar w:fldCharType="end"/>
            </w:r>
          </w:hyperlink>
        </w:p>
        <w:p w14:paraId="22381C8E" w14:textId="60890CD4" w:rsidR="00B126A5" w:rsidRDefault="00B126A5">
          <w:pPr>
            <w:pStyle w:val="TOC3"/>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1" w:history="1">
            <w:r w:rsidRPr="00EE7B8C">
              <w:rPr>
                <w:rStyle w:val="Hyperlink"/>
                <w:noProof/>
              </w:rPr>
              <w:t xml:space="preserve">3.1. </w:t>
            </w:r>
            <w:r w:rsidRPr="00EE7B8C">
              <w:rPr>
                <w:rStyle w:val="Hyperlink"/>
                <w:rFonts w:cs="Calibri"/>
                <w:noProof/>
                <w:lang w:eastAsia="en-GB"/>
              </w:rPr>
              <w:t>Принципи и критеријуми зеленог финансирања</w:t>
            </w:r>
            <w:r>
              <w:rPr>
                <w:noProof/>
                <w:webHidden/>
              </w:rPr>
              <w:tab/>
            </w:r>
            <w:r>
              <w:rPr>
                <w:noProof/>
                <w:webHidden/>
              </w:rPr>
              <w:fldChar w:fldCharType="begin"/>
            </w:r>
            <w:r>
              <w:rPr>
                <w:noProof/>
                <w:webHidden/>
              </w:rPr>
              <w:instrText xml:space="preserve"> PAGEREF _Toc195167991 \h </w:instrText>
            </w:r>
            <w:r>
              <w:rPr>
                <w:noProof/>
                <w:webHidden/>
              </w:rPr>
            </w:r>
            <w:r>
              <w:rPr>
                <w:noProof/>
                <w:webHidden/>
              </w:rPr>
              <w:fldChar w:fldCharType="separate"/>
            </w:r>
            <w:r>
              <w:rPr>
                <w:noProof/>
                <w:webHidden/>
              </w:rPr>
              <w:t>9</w:t>
            </w:r>
            <w:r>
              <w:rPr>
                <w:noProof/>
                <w:webHidden/>
              </w:rPr>
              <w:fldChar w:fldCharType="end"/>
            </w:r>
          </w:hyperlink>
        </w:p>
        <w:p w14:paraId="5DAC37D8" w14:textId="3534F096" w:rsidR="00B126A5" w:rsidRDefault="00B126A5">
          <w:pPr>
            <w:pStyle w:val="TOC3"/>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2" w:history="1">
            <w:r w:rsidRPr="00EE7B8C">
              <w:rPr>
                <w:rStyle w:val="Hyperlink"/>
                <w:rFonts w:cs="Calibri"/>
                <w:noProof/>
                <w:lang w:eastAsia="en-GB"/>
              </w:rPr>
              <w:t>3.2. ЕУ Таксономија и стандарди одрживог финансирања</w:t>
            </w:r>
            <w:r>
              <w:rPr>
                <w:noProof/>
                <w:webHidden/>
              </w:rPr>
              <w:tab/>
            </w:r>
            <w:r>
              <w:rPr>
                <w:noProof/>
                <w:webHidden/>
              </w:rPr>
              <w:fldChar w:fldCharType="begin"/>
            </w:r>
            <w:r>
              <w:rPr>
                <w:noProof/>
                <w:webHidden/>
              </w:rPr>
              <w:instrText xml:space="preserve"> PAGEREF _Toc195167992 \h </w:instrText>
            </w:r>
            <w:r>
              <w:rPr>
                <w:noProof/>
                <w:webHidden/>
              </w:rPr>
            </w:r>
            <w:r>
              <w:rPr>
                <w:noProof/>
                <w:webHidden/>
              </w:rPr>
              <w:fldChar w:fldCharType="separate"/>
            </w:r>
            <w:r>
              <w:rPr>
                <w:noProof/>
                <w:webHidden/>
              </w:rPr>
              <w:t>11</w:t>
            </w:r>
            <w:r>
              <w:rPr>
                <w:noProof/>
                <w:webHidden/>
              </w:rPr>
              <w:fldChar w:fldCharType="end"/>
            </w:r>
          </w:hyperlink>
        </w:p>
        <w:p w14:paraId="32E74584" w14:textId="5ABF794F" w:rsidR="00B126A5" w:rsidRDefault="00B126A5">
          <w:pPr>
            <w:pStyle w:val="TOC3"/>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3" w:history="1">
            <w:r w:rsidRPr="00EE7B8C">
              <w:rPr>
                <w:rStyle w:val="Hyperlink"/>
                <w:rFonts w:cs="Calibri"/>
                <w:noProof/>
                <w:lang w:eastAsia="en-GB"/>
              </w:rPr>
              <w:t>3.3. Примери финансираних пројеката</w:t>
            </w:r>
            <w:r>
              <w:rPr>
                <w:noProof/>
                <w:webHidden/>
              </w:rPr>
              <w:tab/>
            </w:r>
            <w:r>
              <w:rPr>
                <w:noProof/>
                <w:webHidden/>
              </w:rPr>
              <w:fldChar w:fldCharType="begin"/>
            </w:r>
            <w:r>
              <w:rPr>
                <w:noProof/>
                <w:webHidden/>
              </w:rPr>
              <w:instrText xml:space="preserve"> PAGEREF _Toc195167993 \h </w:instrText>
            </w:r>
            <w:r>
              <w:rPr>
                <w:noProof/>
                <w:webHidden/>
              </w:rPr>
            </w:r>
            <w:r>
              <w:rPr>
                <w:noProof/>
                <w:webHidden/>
              </w:rPr>
              <w:fldChar w:fldCharType="separate"/>
            </w:r>
            <w:r>
              <w:rPr>
                <w:noProof/>
                <w:webHidden/>
              </w:rPr>
              <w:t>12</w:t>
            </w:r>
            <w:r>
              <w:rPr>
                <w:noProof/>
                <w:webHidden/>
              </w:rPr>
              <w:fldChar w:fldCharType="end"/>
            </w:r>
          </w:hyperlink>
        </w:p>
        <w:p w14:paraId="6D62AFF1" w14:textId="5EA232B1" w:rsidR="00B126A5" w:rsidRDefault="00B126A5">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4" w:history="1">
            <w:r w:rsidRPr="00EE7B8C">
              <w:rPr>
                <w:rStyle w:val="Hyperlink"/>
                <w:b/>
                <w:noProof/>
              </w:rPr>
              <w:t>4. Преглед расположивих зелених финансијских  инструмената у Србији</w:t>
            </w:r>
            <w:r>
              <w:rPr>
                <w:noProof/>
                <w:webHidden/>
              </w:rPr>
              <w:tab/>
            </w:r>
            <w:r>
              <w:rPr>
                <w:noProof/>
                <w:webHidden/>
              </w:rPr>
              <w:fldChar w:fldCharType="begin"/>
            </w:r>
            <w:r>
              <w:rPr>
                <w:noProof/>
                <w:webHidden/>
              </w:rPr>
              <w:instrText xml:space="preserve"> PAGEREF _Toc195167994 \h </w:instrText>
            </w:r>
            <w:r>
              <w:rPr>
                <w:noProof/>
                <w:webHidden/>
              </w:rPr>
            </w:r>
            <w:r>
              <w:rPr>
                <w:noProof/>
                <w:webHidden/>
              </w:rPr>
              <w:fldChar w:fldCharType="separate"/>
            </w:r>
            <w:r>
              <w:rPr>
                <w:noProof/>
                <w:webHidden/>
              </w:rPr>
              <w:t>13</w:t>
            </w:r>
            <w:r>
              <w:rPr>
                <w:noProof/>
                <w:webHidden/>
              </w:rPr>
              <w:fldChar w:fldCharType="end"/>
            </w:r>
          </w:hyperlink>
        </w:p>
        <w:p w14:paraId="7E04AC54" w14:textId="5FFB02AA" w:rsidR="00B126A5" w:rsidRDefault="00B126A5">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5" w:history="1">
            <w:r w:rsidRPr="00EE7B8C">
              <w:rPr>
                <w:rStyle w:val="Hyperlink"/>
                <w:b/>
                <w:bCs/>
                <w:noProof/>
              </w:rPr>
              <w:t>5. Извори и ресурси</w:t>
            </w:r>
            <w:r>
              <w:rPr>
                <w:noProof/>
                <w:webHidden/>
              </w:rPr>
              <w:tab/>
            </w:r>
            <w:r>
              <w:rPr>
                <w:noProof/>
                <w:webHidden/>
              </w:rPr>
              <w:fldChar w:fldCharType="begin"/>
            </w:r>
            <w:r>
              <w:rPr>
                <w:noProof/>
                <w:webHidden/>
              </w:rPr>
              <w:instrText xml:space="preserve"> PAGEREF _Toc195167995 \h </w:instrText>
            </w:r>
            <w:r>
              <w:rPr>
                <w:noProof/>
                <w:webHidden/>
              </w:rPr>
            </w:r>
            <w:r>
              <w:rPr>
                <w:noProof/>
                <w:webHidden/>
              </w:rPr>
              <w:fldChar w:fldCharType="separate"/>
            </w:r>
            <w:r>
              <w:rPr>
                <w:noProof/>
                <w:webHidden/>
              </w:rPr>
              <w:t>16</w:t>
            </w:r>
            <w:r>
              <w:rPr>
                <w:noProof/>
                <w:webHidden/>
              </w:rPr>
              <w:fldChar w:fldCharType="end"/>
            </w:r>
          </w:hyperlink>
        </w:p>
        <w:p w14:paraId="1454156B" w14:textId="210B98D7" w:rsidR="00B126A5" w:rsidRDefault="00B126A5">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5167996" w:history="1">
            <w:r w:rsidRPr="00EE7B8C">
              <w:rPr>
                <w:rStyle w:val="Hyperlink"/>
                <w:b/>
                <w:bCs/>
                <w:noProof/>
              </w:rPr>
              <w:t>6. Прилози</w:t>
            </w:r>
            <w:r>
              <w:rPr>
                <w:noProof/>
                <w:webHidden/>
              </w:rPr>
              <w:tab/>
            </w:r>
            <w:r>
              <w:rPr>
                <w:noProof/>
                <w:webHidden/>
              </w:rPr>
              <w:fldChar w:fldCharType="begin"/>
            </w:r>
            <w:r>
              <w:rPr>
                <w:noProof/>
                <w:webHidden/>
              </w:rPr>
              <w:instrText xml:space="preserve"> PAGEREF _Toc195167996 \h </w:instrText>
            </w:r>
            <w:r>
              <w:rPr>
                <w:noProof/>
                <w:webHidden/>
              </w:rPr>
            </w:r>
            <w:r>
              <w:rPr>
                <w:noProof/>
                <w:webHidden/>
              </w:rPr>
              <w:fldChar w:fldCharType="separate"/>
            </w:r>
            <w:r>
              <w:rPr>
                <w:noProof/>
                <w:webHidden/>
              </w:rPr>
              <w:t>16</w:t>
            </w:r>
            <w:r>
              <w:rPr>
                <w:noProof/>
                <w:webHidden/>
              </w:rPr>
              <w:fldChar w:fldCharType="end"/>
            </w:r>
          </w:hyperlink>
        </w:p>
        <w:p w14:paraId="05190F24" w14:textId="78C669EF" w:rsidR="005F6900" w:rsidRPr="005B0548" w:rsidRDefault="005F6900" w:rsidP="005F6900">
          <w:pPr>
            <w:pStyle w:val="TOC1"/>
            <w:tabs>
              <w:tab w:val="right" w:leader="dot" w:pos="9653"/>
            </w:tabs>
            <w:rPr>
              <w:rFonts w:asciiTheme="minorHAnsi" w:hAnsiTheme="minorHAnsi"/>
              <w:lang w:val="sr-Cyrl-RS"/>
            </w:rPr>
          </w:pPr>
          <w:r w:rsidRPr="005B0548">
            <w:rPr>
              <w:rFonts w:asciiTheme="minorHAnsi" w:hAnsiTheme="minorHAnsi"/>
              <w:b/>
              <w:bCs/>
              <w:lang w:val="sr-Cyrl-RS"/>
            </w:rPr>
            <w:fldChar w:fldCharType="end"/>
          </w:r>
        </w:p>
      </w:sdtContent>
    </w:sdt>
    <w:p w14:paraId="2D668B8E" w14:textId="77777777" w:rsidR="005F6900" w:rsidRPr="005B0548" w:rsidRDefault="005F6900" w:rsidP="005F6900">
      <w:pPr>
        <w:rPr>
          <w:rFonts w:asciiTheme="minorHAnsi" w:hAnsiTheme="minorHAnsi"/>
        </w:rPr>
      </w:pPr>
      <w:r w:rsidRPr="005B0548">
        <w:rPr>
          <w:rFonts w:asciiTheme="minorHAnsi" w:hAnsiTheme="minorHAnsi"/>
        </w:rPr>
        <w:t xml:space="preserve"> </w:t>
      </w:r>
    </w:p>
    <w:p w14:paraId="52049842" w14:textId="77777777" w:rsidR="005F6900" w:rsidRPr="005B0548" w:rsidRDefault="005F6900" w:rsidP="005F6900">
      <w:pPr>
        <w:rPr>
          <w:rFonts w:asciiTheme="minorHAnsi" w:hAnsiTheme="minorHAnsi"/>
        </w:rPr>
      </w:pPr>
    </w:p>
    <w:p w14:paraId="1551F55E" w14:textId="77777777" w:rsidR="005F6900" w:rsidRPr="005B0548" w:rsidRDefault="005F6900" w:rsidP="005F6900">
      <w:pPr>
        <w:rPr>
          <w:rFonts w:asciiTheme="minorHAnsi" w:hAnsiTheme="minorHAnsi"/>
        </w:rPr>
      </w:pPr>
    </w:p>
    <w:p w14:paraId="043EE561" w14:textId="77777777" w:rsidR="005F6900" w:rsidRPr="005B0548" w:rsidRDefault="005F6900" w:rsidP="005F6900">
      <w:pPr>
        <w:rPr>
          <w:rFonts w:asciiTheme="minorHAnsi" w:hAnsiTheme="minorHAnsi"/>
        </w:rPr>
      </w:pPr>
    </w:p>
    <w:p w14:paraId="7BF25FA0" w14:textId="77777777" w:rsidR="005F6900" w:rsidRPr="005B0548" w:rsidRDefault="005F6900" w:rsidP="005F6900">
      <w:pPr>
        <w:rPr>
          <w:rFonts w:asciiTheme="minorHAnsi" w:hAnsiTheme="minorHAnsi"/>
        </w:rPr>
      </w:pPr>
    </w:p>
    <w:p w14:paraId="1C4B6F78" w14:textId="77777777" w:rsidR="005F6900" w:rsidRPr="005B0548" w:rsidRDefault="005F6900" w:rsidP="005F6900">
      <w:pPr>
        <w:rPr>
          <w:rFonts w:asciiTheme="minorHAnsi" w:hAnsiTheme="minorHAnsi"/>
        </w:rPr>
      </w:pPr>
    </w:p>
    <w:p w14:paraId="15000944" w14:textId="77777777" w:rsidR="005F6900" w:rsidRPr="005B0548" w:rsidRDefault="005F6900" w:rsidP="005F6900">
      <w:pPr>
        <w:rPr>
          <w:rFonts w:asciiTheme="minorHAnsi" w:hAnsiTheme="minorHAnsi"/>
        </w:rPr>
      </w:pPr>
    </w:p>
    <w:p w14:paraId="3D7031CC" w14:textId="77777777" w:rsidR="005F6900" w:rsidRPr="005B0548" w:rsidRDefault="005F6900" w:rsidP="005F6900">
      <w:pPr>
        <w:rPr>
          <w:rFonts w:asciiTheme="minorHAnsi" w:hAnsiTheme="minorHAnsi"/>
        </w:rPr>
      </w:pPr>
    </w:p>
    <w:p w14:paraId="14332C83" w14:textId="77777777" w:rsidR="005F6900" w:rsidRPr="005B0548" w:rsidRDefault="005F6900" w:rsidP="005F6900">
      <w:pPr>
        <w:rPr>
          <w:rFonts w:asciiTheme="minorHAnsi" w:hAnsiTheme="minorHAnsi"/>
        </w:rPr>
      </w:pPr>
    </w:p>
    <w:p w14:paraId="0A3F696C" w14:textId="77777777" w:rsidR="005F6900" w:rsidRPr="005B0548" w:rsidRDefault="005F6900" w:rsidP="005F6900">
      <w:pPr>
        <w:rPr>
          <w:rFonts w:asciiTheme="minorHAnsi" w:hAnsiTheme="minorHAnsi"/>
        </w:rPr>
      </w:pPr>
    </w:p>
    <w:p w14:paraId="3DBC00D1" w14:textId="77777777" w:rsidR="005F6900" w:rsidRPr="005B0548" w:rsidRDefault="005F6900" w:rsidP="005F6900">
      <w:pPr>
        <w:rPr>
          <w:rFonts w:asciiTheme="minorHAnsi" w:hAnsiTheme="minorHAnsi"/>
        </w:rPr>
      </w:pPr>
    </w:p>
    <w:p w14:paraId="70782EAF" w14:textId="77777777" w:rsidR="005F6900" w:rsidRPr="005B0548" w:rsidRDefault="005F6900" w:rsidP="005F6900">
      <w:pPr>
        <w:rPr>
          <w:rFonts w:asciiTheme="minorHAnsi" w:hAnsiTheme="minorHAnsi"/>
        </w:rPr>
      </w:pPr>
    </w:p>
    <w:p w14:paraId="4DA3EAD5" w14:textId="77777777" w:rsidR="005F6900" w:rsidRPr="005B0548" w:rsidRDefault="005F6900" w:rsidP="005F6900">
      <w:pPr>
        <w:rPr>
          <w:rFonts w:asciiTheme="minorHAnsi" w:hAnsiTheme="minorHAnsi"/>
        </w:rPr>
      </w:pPr>
    </w:p>
    <w:p w14:paraId="2474BF94" w14:textId="77777777" w:rsidR="005F6900" w:rsidRPr="005B0548" w:rsidRDefault="005F6900" w:rsidP="005F6900">
      <w:pPr>
        <w:rPr>
          <w:rFonts w:asciiTheme="minorHAnsi" w:hAnsiTheme="minorHAnsi"/>
        </w:rPr>
      </w:pPr>
    </w:p>
    <w:p w14:paraId="2DE64E35" w14:textId="77777777" w:rsidR="005F6900" w:rsidRPr="005B0548" w:rsidRDefault="005F6900" w:rsidP="005F6900">
      <w:pPr>
        <w:rPr>
          <w:rFonts w:asciiTheme="minorHAnsi" w:hAnsiTheme="minorHAnsi"/>
        </w:rPr>
      </w:pPr>
    </w:p>
    <w:p w14:paraId="77531EFE" w14:textId="77777777" w:rsidR="005F6900" w:rsidRPr="005B0548" w:rsidRDefault="005F6900" w:rsidP="005F6900">
      <w:pPr>
        <w:rPr>
          <w:rFonts w:asciiTheme="minorHAnsi" w:hAnsiTheme="minorHAnsi"/>
        </w:rPr>
      </w:pPr>
    </w:p>
    <w:p w14:paraId="4AD8EB03" w14:textId="77777777" w:rsidR="005F6900" w:rsidRPr="005B0548" w:rsidRDefault="005F6900" w:rsidP="005F6900">
      <w:pPr>
        <w:rPr>
          <w:rFonts w:asciiTheme="minorHAnsi" w:hAnsiTheme="minorHAnsi"/>
        </w:rPr>
      </w:pPr>
    </w:p>
    <w:p w14:paraId="7EBCABED" w14:textId="77777777" w:rsidR="005F6900" w:rsidRPr="005B0548" w:rsidRDefault="005F6900" w:rsidP="005F6900">
      <w:pPr>
        <w:rPr>
          <w:rFonts w:asciiTheme="minorHAnsi" w:hAnsiTheme="minorHAnsi"/>
        </w:rPr>
      </w:pPr>
    </w:p>
    <w:p w14:paraId="271C9B22" w14:textId="77777777" w:rsidR="005F6900" w:rsidRPr="005B0548" w:rsidRDefault="005F6900" w:rsidP="005F6900">
      <w:pPr>
        <w:rPr>
          <w:rFonts w:asciiTheme="minorHAnsi" w:hAnsiTheme="minorHAnsi"/>
        </w:rPr>
      </w:pPr>
    </w:p>
    <w:p w14:paraId="0F7840E5" w14:textId="77777777" w:rsidR="005F6900" w:rsidRPr="005B0548" w:rsidRDefault="005F6900" w:rsidP="005F6900">
      <w:pPr>
        <w:rPr>
          <w:rFonts w:asciiTheme="minorHAnsi" w:hAnsiTheme="minorHAnsi"/>
        </w:rPr>
      </w:pPr>
    </w:p>
    <w:p w14:paraId="135E46FE" w14:textId="77777777" w:rsidR="005F6900" w:rsidRPr="005B0548" w:rsidRDefault="005F6900" w:rsidP="005F6900">
      <w:pPr>
        <w:rPr>
          <w:rFonts w:asciiTheme="minorHAnsi" w:hAnsiTheme="minorHAnsi"/>
        </w:rPr>
      </w:pPr>
    </w:p>
    <w:p w14:paraId="22D641C9" w14:textId="77777777" w:rsidR="005F6900" w:rsidRPr="005B0548" w:rsidRDefault="005F6900" w:rsidP="005F6900">
      <w:pPr>
        <w:rPr>
          <w:rFonts w:asciiTheme="minorHAnsi" w:hAnsiTheme="minorHAnsi"/>
        </w:rPr>
      </w:pPr>
    </w:p>
    <w:p w14:paraId="10A688C0" w14:textId="77777777" w:rsidR="005F6900" w:rsidRPr="005B0548" w:rsidRDefault="005F6900" w:rsidP="005F6900">
      <w:pPr>
        <w:rPr>
          <w:rFonts w:asciiTheme="minorHAnsi" w:hAnsiTheme="minorHAnsi"/>
        </w:rPr>
      </w:pPr>
    </w:p>
    <w:p w14:paraId="5FD8E139" w14:textId="77777777" w:rsidR="005F6900" w:rsidRPr="005B0548" w:rsidRDefault="005F6900" w:rsidP="005F6900">
      <w:pPr>
        <w:rPr>
          <w:rFonts w:asciiTheme="minorHAnsi" w:hAnsiTheme="minorHAnsi"/>
        </w:rPr>
      </w:pPr>
    </w:p>
    <w:p w14:paraId="1E453FBF" w14:textId="77777777" w:rsidR="005F6900" w:rsidRPr="005B0548" w:rsidRDefault="005F6900" w:rsidP="005F6900">
      <w:pPr>
        <w:rPr>
          <w:rFonts w:asciiTheme="minorHAnsi" w:hAnsiTheme="minorHAnsi"/>
        </w:rPr>
      </w:pPr>
    </w:p>
    <w:p w14:paraId="61AB3569" w14:textId="77777777" w:rsidR="005F6900" w:rsidRPr="005B0548" w:rsidRDefault="005F6900" w:rsidP="005F6900">
      <w:pPr>
        <w:rPr>
          <w:rFonts w:asciiTheme="minorHAnsi" w:hAnsiTheme="minorHAnsi"/>
        </w:rPr>
      </w:pPr>
    </w:p>
    <w:p w14:paraId="002CF1BD" w14:textId="77777777" w:rsidR="005F6900" w:rsidRPr="005B0548" w:rsidRDefault="005F6900" w:rsidP="005F6900">
      <w:pPr>
        <w:rPr>
          <w:rFonts w:asciiTheme="minorHAnsi" w:hAnsiTheme="minorHAnsi"/>
        </w:rPr>
      </w:pPr>
    </w:p>
    <w:p w14:paraId="5742850C" w14:textId="77777777" w:rsidR="005F6900" w:rsidRPr="005B0548" w:rsidRDefault="005F6900" w:rsidP="005F6900">
      <w:pPr>
        <w:rPr>
          <w:rFonts w:asciiTheme="minorHAnsi" w:hAnsiTheme="minorHAnsi"/>
        </w:rPr>
      </w:pPr>
    </w:p>
    <w:p w14:paraId="2DF70FB4" w14:textId="77777777" w:rsidR="005F6900" w:rsidRPr="005B0548" w:rsidRDefault="005F6900" w:rsidP="005F6900">
      <w:pPr>
        <w:rPr>
          <w:rFonts w:asciiTheme="minorHAnsi" w:hAnsiTheme="minorHAnsi"/>
        </w:rPr>
      </w:pPr>
    </w:p>
    <w:p w14:paraId="7A22354B" w14:textId="77777777" w:rsidR="005F6900" w:rsidRDefault="005F6900" w:rsidP="005F6900">
      <w:pPr>
        <w:rPr>
          <w:rFonts w:asciiTheme="minorHAnsi" w:hAnsiTheme="minorHAnsi"/>
        </w:rPr>
      </w:pPr>
    </w:p>
    <w:p w14:paraId="38092647" w14:textId="77777777" w:rsidR="003F52D8" w:rsidRDefault="003F52D8" w:rsidP="005F6900">
      <w:pPr>
        <w:rPr>
          <w:rFonts w:asciiTheme="minorHAnsi" w:hAnsiTheme="minorHAnsi"/>
        </w:rPr>
      </w:pPr>
    </w:p>
    <w:p w14:paraId="5312215D" w14:textId="77777777" w:rsidR="003F52D8" w:rsidRDefault="003F52D8" w:rsidP="005F6900">
      <w:pPr>
        <w:rPr>
          <w:rFonts w:asciiTheme="minorHAnsi" w:hAnsiTheme="minorHAnsi"/>
        </w:rPr>
      </w:pPr>
    </w:p>
    <w:p w14:paraId="271847C4" w14:textId="77777777" w:rsidR="003F52D8" w:rsidRPr="005B0548" w:rsidRDefault="003F52D8" w:rsidP="005F6900">
      <w:pPr>
        <w:rPr>
          <w:rFonts w:asciiTheme="minorHAnsi" w:hAnsiTheme="minorHAnsi"/>
        </w:rPr>
      </w:pPr>
    </w:p>
    <w:p w14:paraId="0D637456" w14:textId="77777777" w:rsidR="005F6900" w:rsidRPr="005B0548" w:rsidRDefault="005F6900" w:rsidP="005F6900">
      <w:pPr>
        <w:rPr>
          <w:rFonts w:asciiTheme="minorHAnsi" w:hAnsiTheme="minorHAnsi"/>
        </w:rPr>
      </w:pPr>
    </w:p>
    <w:p w14:paraId="3B72C4E9" w14:textId="77777777" w:rsidR="005F6900" w:rsidRPr="005B0548" w:rsidRDefault="005F6900" w:rsidP="005F6900">
      <w:pPr>
        <w:rPr>
          <w:rFonts w:asciiTheme="minorHAnsi" w:hAnsiTheme="minorHAnsi"/>
        </w:rPr>
      </w:pPr>
    </w:p>
    <w:p w14:paraId="40A287BF" w14:textId="77777777" w:rsidR="005F6900" w:rsidRPr="00E524F9" w:rsidRDefault="005F6900" w:rsidP="005F6900">
      <w:pPr>
        <w:pStyle w:val="Heading1"/>
        <w:spacing w:before="0" w:after="0"/>
        <w:rPr>
          <w:rFonts w:asciiTheme="minorHAnsi" w:hAnsiTheme="minorHAnsi" w:cstheme="minorHAnsi"/>
          <w:b/>
          <w:bCs/>
          <w:color w:val="auto"/>
          <w:sz w:val="22"/>
          <w:szCs w:val="22"/>
        </w:rPr>
      </w:pPr>
      <w:bookmarkStart w:id="0" w:name="_Toc195167988"/>
      <w:r w:rsidRPr="00E524F9">
        <w:rPr>
          <w:rFonts w:asciiTheme="minorHAnsi" w:hAnsiTheme="minorHAnsi" w:cstheme="minorHAnsi"/>
          <w:b/>
          <w:bCs/>
          <w:color w:val="auto"/>
          <w:sz w:val="22"/>
          <w:szCs w:val="22"/>
        </w:rPr>
        <w:lastRenderedPageBreak/>
        <w:t>1. Увод</w:t>
      </w:r>
      <w:bookmarkEnd w:id="0"/>
    </w:p>
    <w:p w14:paraId="363E892C" w14:textId="77777777" w:rsidR="005F6900" w:rsidRPr="005B0548" w:rsidRDefault="005F6900" w:rsidP="005F6900">
      <w:pPr>
        <w:rPr>
          <w:rFonts w:asciiTheme="minorHAnsi" w:hAnsiTheme="minorHAnsi"/>
        </w:rPr>
      </w:pPr>
    </w:p>
    <w:p w14:paraId="18212E36" w14:textId="001929AF" w:rsidR="005F6900" w:rsidRPr="005B0548" w:rsidRDefault="005F6900" w:rsidP="005F6900">
      <w:pPr>
        <w:tabs>
          <w:tab w:val="left" w:pos="3708"/>
        </w:tabs>
        <w:jc w:val="both"/>
        <w:rPr>
          <w:rFonts w:asciiTheme="minorHAnsi" w:hAnsiTheme="minorHAnsi"/>
        </w:rPr>
      </w:pPr>
      <w:r w:rsidRPr="005B0548">
        <w:rPr>
          <w:rFonts w:asciiTheme="minorHAnsi" w:hAnsiTheme="minorHAnsi"/>
        </w:rPr>
        <w:t>Зелено пословање је пословна пракса која тежи смањењу негативног утицаја на животну средину, друштво и економију, уз остваривање профита. Предузетници који примењују принципе одрживости у пословању балансирају зараду и очување природних ресурса. Зелена предузећа не само да оптимизују своје производне процесе, већ нуде производе и услуге које имају минималан негативан утицај на животну средину.</w:t>
      </w:r>
      <w:r w:rsidR="005B0548">
        <w:rPr>
          <w:rFonts w:asciiTheme="minorHAnsi" w:hAnsiTheme="minorHAnsi"/>
        </w:rPr>
        <w:t xml:space="preserve"> </w:t>
      </w:r>
    </w:p>
    <w:p w14:paraId="4BF67D32" w14:textId="77777777" w:rsidR="005F6900" w:rsidRPr="005B0548" w:rsidRDefault="005F6900" w:rsidP="005F6900">
      <w:pPr>
        <w:tabs>
          <w:tab w:val="left" w:pos="3708"/>
        </w:tabs>
        <w:jc w:val="both"/>
        <w:rPr>
          <w:rFonts w:asciiTheme="minorHAnsi" w:hAnsiTheme="minorHAnsi"/>
        </w:rPr>
      </w:pPr>
    </w:p>
    <w:p w14:paraId="4A2DCE1E" w14:textId="073A98B9" w:rsidR="005F6900" w:rsidRPr="005B0548" w:rsidRDefault="005F6900" w:rsidP="005F6900">
      <w:pPr>
        <w:tabs>
          <w:tab w:val="left" w:pos="3708"/>
        </w:tabs>
        <w:jc w:val="both"/>
        <w:rPr>
          <w:rFonts w:asciiTheme="minorHAnsi" w:hAnsiTheme="minorHAnsi"/>
        </w:rPr>
      </w:pPr>
      <w:r w:rsidRPr="005B0548">
        <w:rPr>
          <w:rFonts w:asciiTheme="minorHAnsi" w:hAnsiTheme="minorHAnsi"/>
        </w:rPr>
        <w:t>Сви привредни субјекти, без обзира на величину, имају потенцијал да озеле</w:t>
      </w:r>
      <w:r w:rsidR="005B0548">
        <w:rPr>
          <w:rFonts w:asciiTheme="minorHAnsi" w:hAnsiTheme="minorHAnsi"/>
        </w:rPr>
        <w:t>не</w:t>
      </w:r>
      <w:r w:rsidRPr="005B0548">
        <w:rPr>
          <w:rFonts w:asciiTheme="minorHAnsi" w:hAnsiTheme="minorHAnsi"/>
        </w:rPr>
        <w:t xml:space="preserve"> своје пословање – било кроз ефикасније коришћење ресурса, смањење емисија штетних гасова, или прелазак на обновљиве изворе енергије. Усмеравање пословања ка одрживости доноси вишеструке користи, укључујући уштеде на дугорочном плану, бољу конкурентност на домаћем и међународном тржишту, као и приступ новим изворима финансирања.</w:t>
      </w:r>
    </w:p>
    <w:p w14:paraId="5A491E67" w14:textId="77777777" w:rsidR="005F6900" w:rsidRPr="005B0548" w:rsidRDefault="005F6900" w:rsidP="005F6900">
      <w:pPr>
        <w:tabs>
          <w:tab w:val="left" w:pos="3708"/>
        </w:tabs>
        <w:jc w:val="both"/>
        <w:rPr>
          <w:rFonts w:asciiTheme="minorHAnsi" w:hAnsiTheme="minorHAnsi"/>
        </w:rPr>
      </w:pPr>
    </w:p>
    <w:p w14:paraId="42203686" w14:textId="77777777" w:rsidR="005F6900" w:rsidRPr="005B0548" w:rsidRDefault="005F6900" w:rsidP="005F6900">
      <w:pPr>
        <w:tabs>
          <w:tab w:val="left" w:pos="3708"/>
        </w:tabs>
        <w:jc w:val="both"/>
        <w:rPr>
          <w:rFonts w:asciiTheme="minorHAnsi" w:hAnsiTheme="minorHAnsi"/>
        </w:rPr>
      </w:pPr>
      <w:r w:rsidRPr="005B0548">
        <w:rPr>
          <w:rFonts w:asciiTheme="minorHAnsi" w:hAnsiTheme="minorHAnsi"/>
        </w:rPr>
        <w:t>Већи број предузећа у Србији и Северној Македонији већ је препознао предности зелене трансформације и инвестирали су у енергетски ефикасне технологије, као што су соларни панели. Иако постоји значајан потенцијал за даљи напредак, препреке као што су недостатак капитала, ограничене зелене вештине и недостатак информација о доступним зеленим подстицајима и јавним набавкама често успоравају ширење зелених пракси.</w:t>
      </w:r>
    </w:p>
    <w:p w14:paraId="68D89C1A" w14:textId="77777777" w:rsidR="005F6900" w:rsidRPr="005B0548" w:rsidRDefault="005F6900" w:rsidP="005F6900">
      <w:pPr>
        <w:tabs>
          <w:tab w:val="left" w:pos="3708"/>
        </w:tabs>
        <w:jc w:val="both"/>
        <w:rPr>
          <w:rFonts w:asciiTheme="minorHAnsi" w:hAnsiTheme="minorHAnsi"/>
        </w:rPr>
      </w:pPr>
    </w:p>
    <w:p w14:paraId="58E98116" w14:textId="77777777" w:rsidR="005F6900" w:rsidRPr="005B0548" w:rsidRDefault="005F6900" w:rsidP="005F6900">
      <w:pPr>
        <w:tabs>
          <w:tab w:val="left" w:pos="3708"/>
        </w:tabs>
        <w:jc w:val="both"/>
        <w:rPr>
          <w:rFonts w:asciiTheme="minorHAnsi" w:hAnsiTheme="minorHAnsi"/>
        </w:rPr>
      </w:pPr>
      <w:bookmarkStart w:id="1" w:name="_Hlk193966781"/>
      <w:r w:rsidRPr="005B0548">
        <w:rPr>
          <w:rFonts w:asciiTheme="minorHAnsi" w:hAnsiTheme="minorHAnsi"/>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малих и средњих предузећа и организација за подршку пословању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МСП-а и организација за пословну подршку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w:t>
      </w:r>
    </w:p>
    <w:p w14:paraId="110A1B90" w14:textId="77777777" w:rsidR="005F6900" w:rsidRPr="005B0548" w:rsidRDefault="005F6900" w:rsidP="005F6900">
      <w:pPr>
        <w:tabs>
          <w:tab w:val="left" w:pos="3708"/>
        </w:tabs>
        <w:jc w:val="both"/>
        <w:rPr>
          <w:rFonts w:asciiTheme="minorHAnsi" w:hAnsiTheme="minorHAnsi"/>
        </w:rPr>
      </w:pPr>
    </w:p>
    <w:p w14:paraId="4BD00C5F" w14:textId="77777777" w:rsidR="005F6900" w:rsidRPr="005B0548" w:rsidRDefault="005F6900" w:rsidP="005F6900">
      <w:pPr>
        <w:tabs>
          <w:tab w:val="left" w:pos="3708"/>
        </w:tabs>
        <w:jc w:val="both"/>
        <w:rPr>
          <w:rFonts w:asciiTheme="minorHAnsi" w:hAnsiTheme="minorHAnsi"/>
        </w:rPr>
      </w:pPr>
      <w:r w:rsidRPr="005B0548">
        <w:rPr>
          <w:rFonts w:asciiTheme="minorHAnsi" w:hAnsiTheme="minorHAnsi"/>
        </w:rPr>
        <w:t xml:space="preserve">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организација за пословну подршку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w:t>
      </w:r>
    </w:p>
    <w:p w14:paraId="07778709" w14:textId="77777777" w:rsidR="005F6900" w:rsidRPr="005B0548" w:rsidRDefault="005F6900" w:rsidP="005F6900">
      <w:pPr>
        <w:tabs>
          <w:tab w:val="left" w:pos="3708"/>
        </w:tabs>
        <w:jc w:val="both"/>
        <w:rPr>
          <w:rFonts w:asciiTheme="minorHAnsi" w:hAnsiTheme="minorHAnsi"/>
        </w:rPr>
      </w:pPr>
    </w:p>
    <w:p w14:paraId="0F8414AD" w14:textId="77777777" w:rsidR="005F6900" w:rsidRPr="005B0548" w:rsidRDefault="005F6900" w:rsidP="005F6900">
      <w:pPr>
        <w:tabs>
          <w:tab w:val="left" w:pos="3708"/>
        </w:tabs>
        <w:jc w:val="both"/>
        <w:rPr>
          <w:rFonts w:asciiTheme="minorHAnsi" w:hAnsiTheme="minorHAnsi"/>
        </w:rPr>
      </w:pPr>
      <w:r w:rsidRPr="005B0548">
        <w:rPr>
          <w:rFonts w:asciiTheme="minorHAnsi" w:hAnsiTheme="minorHAnsi"/>
        </w:rPr>
        <w:t xml:space="preserve">Директни корисници пројекта су привредни и јавни субјекти из Србије и Северне Македоније и то: 20 организација за пословну подршку; 2 пројектна партнера; 60 МСП-а који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и 30 социо-економских партнера (националне, регионалне и локалне власти, пружаоци пословних услуга, образовне и истраживачке институције и сл.). </w:t>
      </w:r>
    </w:p>
    <w:p w14:paraId="5919F15C" w14:textId="77777777" w:rsidR="005F6900" w:rsidRPr="005B0548" w:rsidRDefault="005F6900" w:rsidP="005F6900">
      <w:pPr>
        <w:tabs>
          <w:tab w:val="left" w:pos="3708"/>
        </w:tabs>
        <w:jc w:val="both"/>
        <w:rPr>
          <w:rFonts w:asciiTheme="minorHAnsi" w:hAnsiTheme="minorHAnsi"/>
        </w:rPr>
      </w:pPr>
    </w:p>
    <w:p w14:paraId="534D3F52" w14:textId="77777777" w:rsidR="005F6900" w:rsidRPr="005B0548" w:rsidRDefault="005F6900" w:rsidP="005F6900">
      <w:pPr>
        <w:tabs>
          <w:tab w:val="left" w:pos="3708"/>
        </w:tabs>
        <w:jc w:val="both"/>
        <w:rPr>
          <w:rFonts w:asciiTheme="minorHAnsi" w:hAnsiTheme="minorHAnsi"/>
        </w:rPr>
      </w:pPr>
      <w:r w:rsidRPr="005B0548">
        <w:rPr>
          <w:rFonts w:asciiTheme="minorHAnsi" w:hAnsiTheme="minorHAnsi"/>
        </w:rPr>
        <w:t xml:space="preserve">Иако је пројект превсходно намењен организацијама за пословну подршку и МСП-а из сектора прерађивачке индустрије резултате пројекта могу користити сви коју су заинтересовани за повећање ресурсне ефикасности и зелену транзицију пословања. </w:t>
      </w:r>
    </w:p>
    <w:p w14:paraId="55831204" w14:textId="77777777" w:rsidR="005F6900" w:rsidRPr="005B0548" w:rsidRDefault="005F6900" w:rsidP="005F6900">
      <w:pPr>
        <w:tabs>
          <w:tab w:val="left" w:pos="3708"/>
        </w:tabs>
        <w:jc w:val="both"/>
        <w:rPr>
          <w:rFonts w:asciiTheme="minorHAnsi" w:hAnsiTheme="minorHAnsi"/>
        </w:rPr>
      </w:pPr>
    </w:p>
    <w:p w14:paraId="20570C81" w14:textId="77777777" w:rsidR="005F6900" w:rsidRPr="005B0548" w:rsidRDefault="005F6900" w:rsidP="005F6900">
      <w:pPr>
        <w:tabs>
          <w:tab w:val="left" w:pos="3708"/>
        </w:tabs>
        <w:jc w:val="both"/>
      </w:pPr>
      <w:r w:rsidRPr="005B0548">
        <w:rPr>
          <w:rFonts w:asciiTheme="minorHAnsi" w:hAnsiTheme="minorHAnsi"/>
        </w:rPr>
        <w:t xml:space="preserve">Планирани период реализације пројекта је 18 месеци. </w:t>
      </w:r>
      <w:bookmarkStart w:id="2" w:name="_Hlk191532386"/>
      <w:r w:rsidRPr="005B0548">
        <w:t xml:space="preserve">За повећање ефикасности ресурса и остварење зелене транзиције у Србији и Северној Македонији неопходно је стицање зелених вештина али и примена алата за озелењавање пословања као и сарадња и трансфер најбољих зелених пракси. Предуслов на том путу је развој алата за озелењавање пословања, a један од алата је и овај Практични водич за зелено финансирање малих и средњих предузећа и предузетника. </w:t>
      </w:r>
    </w:p>
    <w:bookmarkEnd w:id="1"/>
    <w:p w14:paraId="56ECC390" w14:textId="77777777" w:rsidR="005F6900" w:rsidRPr="005B0548" w:rsidRDefault="005F6900" w:rsidP="005F6900">
      <w:pPr>
        <w:tabs>
          <w:tab w:val="left" w:pos="3708"/>
        </w:tabs>
        <w:jc w:val="both"/>
      </w:pPr>
      <w:r w:rsidRPr="005B0548">
        <w:lastRenderedPageBreak/>
        <w:t>Практични водич за зелено финансирање нуди конкретне информације, корак-по-корак упутства и ресурсе који ће помоћи малим и средњим предузећима и предузетницима да превазиђу изазове у процесу озелењавања свог пословања, као и да максимално искористе финансијске и стратешке прилике које зелено пословање нуди.</w:t>
      </w:r>
    </w:p>
    <w:p w14:paraId="54175F3A" w14:textId="77777777" w:rsidR="005F6900" w:rsidRPr="005B0548" w:rsidRDefault="005F6900" w:rsidP="005F6900">
      <w:pPr>
        <w:tabs>
          <w:tab w:val="left" w:pos="3708"/>
        </w:tabs>
        <w:jc w:val="both"/>
        <w:rPr>
          <w:rFonts w:asciiTheme="minorHAnsi" w:hAnsiTheme="minorHAnsi"/>
        </w:rPr>
      </w:pPr>
    </w:p>
    <w:p w14:paraId="1FAD0DD6" w14:textId="232E2000" w:rsidR="005F6900" w:rsidRPr="005B0548" w:rsidRDefault="005F6900" w:rsidP="005F6900">
      <w:pPr>
        <w:tabs>
          <w:tab w:val="left" w:pos="3708"/>
        </w:tabs>
        <w:jc w:val="both"/>
      </w:pPr>
      <w:r w:rsidRPr="005B0548">
        <w:t xml:space="preserve">Практични водич за зелено финансирање дизајниран је да допринесе да мала и средња предузећа (МСП) и предузетници успешно уведу зелена пословна решења у своје операције и да искористе финансијске подстицаје доступне у Србији и Европи. У Водичу су представљене конкретне информације и ресурси који ће омогућавају савладавање изазова  везаних за озелењавање пословања, као и могућности  максималног  </w:t>
      </w:r>
      <w:r w:rsidR="005B0548" w:rsidRPr="005B0548">
        <w:t>искоришћавања</w:t>
      </w:r>
      <w:r w:rsidRPr="005B0548">
        <w:t xml:space="preserve"> могућности финансирања које пружа зелена транзиција. У данашњем пословном окружењу, одрживост више није само опција, већ кључни фактор конкурентности и дугорочног раста. Мала и средња предузећа (МСП) суочавају се с изазовима преласка на зелене пословне моделе, али истовремено имају прилику да искористе предности које доноси зелено финансирање.</w:t>
      </w:r>
    </w:p>
    <w:p w14:paraId="4CF89572" w14:textId="77777777" w:rsidR="005F6900" w:rsidRPr="005B0548" w:rsidRDefault="005F6900" w:rsidP="005F6900">
      <w:pPr>
        <w:tabs>
          <w:tab w:val="left" w:pos="3708"/>
        </w:tabs>
        <w:jc w:val="both"/>
      </w:pPr>
    </w:p>
    <w:p w14:paraId="778A13EC" w14:textId="77777777" w:rsidR="005F6900" w:rsidRPr="005B0548" w:rsidRDefault="005F6900" w:rsidP="005F6900">
      <w:pPr>
        <w:tabs>
          <w:tab w:val="left" w:pos="3708"/>
        </w:tabs>
        <w:jc w:val="both"/>
      </w:pPr>
      <w:r w:rsidRPr="005B0548">
        <w:t>Овај Водич за зелено финансирање креиран је са циљем да МСП и предузетницима пружи јасне информације о доступним финансијским инструментима који могу подржати њихове напоре ка енергетској ефикасности, смањењу еколошког отиска и иновацијама у области циркуларне економије.</w:t>
      </w:r>
    </w:p>
    <w:p w14:paraId="072B38F4" w14:textId="77777777" w:rsidR="005F6900" w:rsidRPr="005B0548" w:rsidRDefault="005F6900" w:rsidP="005F6900">
      <w:pPr>
        <w:tabs>
          <w:tab w:val="left" w:pos="3708"/>
        </w:tabs>
        <w:jc w:val="both"/>
      </w:pPr>
    </w:p>
    <w:p w14:paraId="203491A1" w14:textId="77777777" w:rsidR="005F6900" w:rsidRPr="005B0548" w:rsidRDefault="005F6900" w:rsidP="005F6900">
      <w:pPr>
        <w:tabs>
          <w:tab w:val="left" w:pos="3708"/>
        </w:tabs>
        <w:jc w:val="both"/>
      </w:pPr>
      <w:r w:rsidRPr="005B0548">
        <w:t>Кроз преглед кључних концепата, принципа и критеријума зеленог финансирања, водич објашњава како предузећа могу прилагодити своје пословање новим стандардима одрживости и искористити могућности за финансирање зелених инвестиција. Такође, пружа увид у практичне примере успешних пројеката, омогућавајући предузетницима да препознају најбоље моделе за своју делатност.</w:t>
      </w:r>
    </w:p>
    <w:p w14:paraId="1BC38EAE" w14:textId="77777777" w:rsidR="005F6900" w:rsidRPr="005B0548" w:rsidRDefault="005F6900" w:rsidP="005F6900">
      <w:pPr>
        <w:tabs>
          <w:tab w:val="left" w:pos="3708"/>
        </w:tabs>
        <w:jc w:val="both"/>
      </w:pPr>
    </w:p>
    <w:p w14:paraId="38455DBD" w14:textId="77777777" w:rsidR="005F6900" w:rsidRPr="005B0548" w:rsidRDefault="005F6900" w:rsidP="005F6900">
      <w:pPr>
        <w:tabs>
          <w:tab w:val="left" w:pos="3708"/>
        </w:tabs>
        <w:jc w:val="both"/>
      </w:pPr>
      <w:r w:rsidRPr="005B0548">
        <w:t>Посебан акценат стављен је на преглед доступних зелених финансијских инструмената у Србији, укључујући грантове, субвенције, повољне кредите и друге видове подршке. На тај начин, водич не само да информише, већ и мотивише предузећа да искористе прилике које им стоје на располагању за унапређење пословања и јачање конкурентности на тржишту. Овај водич представља користан алат за све предузетнике који желе да своје пословање учине одрживијим и отпорнијим на изазове будућности.</w:t>
      </w:r>
    </w:p>
    <w:p w14:paraId="5829DBCC" w14:textId="77777777" w:rsidR="005F6900" w:rsidRPr="005B0548" w:rsidRDefault="005F6900" w:rsidP="005F6900">
      <w:pPr>
        <w:tabs>
          <w:tab w:val="left" w:pos="3708"/>
        </w:tabs>
        <w:jc w:val="both"/>
      </w:pPr>
    </w:p>
    <w:p w14:paraId="58E20D88" w14:textId="77777777" w:rsidR="005F6900" w:rsidRPr="005B0548" w:rsidRDefault="005F6900" w:rsidP="005F6900">
      <w:pPr>
        <w:tabs>
          <w:tab w:val="left" w:pos="3708"/>
        </w:tabs>
        <w:jc w:val="both"/>
      </w:pPr>
    </w:p>
    <w:bookmarkEnd w:id="2"/>
    <w:p w14:paraId="732DEDE0" w14:textId="77777777" w:rsidR="005F6900" w:rsidRPr="005B0548" w:rsidRDefault="005F6900" w:rsidP="005F6900">
      <w:pPr>
        <w:tabs>
          <w:tab w:val="left" w:pos="3708"/>
        </w:tabs>
        <w:jc w:val="both"/>
      </w:pPr>
    </w:p>
    <w:p w14:paraId="440B918D" w14:textId="77777777" w:rsidR="005F6900" w:rsidRPr="005B0548" w:rsidRDefault="005F6900" w:rsidP="005F6900">
      <w:pPr>
        <w:tabs>
          <w:tab w:val="left" w:pos="3708"/>
        </w:tabs>
        <w:jc w:val="both"/>
        <w:rPr>
          <w:color w:val="76923C" w:themeColor="accent3" w:themeShade="BF"/>
        </w:rPr>
      </w:pPr>
    </w:p>
    <w:p w14:paraId="0ADBACB6" w14:textId="77777777" w:rsidR="005F6900" w:rsidRPr="005B0548" w:rsidRDefault="005F6900" w:rsidP="005F6900">
      <w:pPr>
        <w:tabs>
          <w:tab w:val="left" w:pos="3708"/>
        </w:tabs>
        <w:jc w:val="both"/>
        <w:rPr>
          <w:color w:val="76923C" w:themeColor="accent3" w:themeShade="BF"/>
        </w:rPr>
      </w:pPr>
    </w:p>
    <w:p w14:paraId="287D7778" w14:textId="77777777" w:rsidR="005F6900" w:rsidRPr="005B0548" w:rsidRDefault="005F6900" w:rsidP="005F6900">
      <w:pPr>
        <w:tabs>
          <w:tab w:val="left" w:pos="3708"/>
        </w:tabs>
        <w:jc w:val="both"/>
        <w:rPr>
          <w:color w:val="76923C" w:themeColor="accent3" w:themeShade="BF"/>
        </w:rPr>
      </w:pPr>
    </w:p>
    <w:p w14:paraId="705CF6A8" w14:textId="77777777" w:rsidR="005F6900" w:rsidRPr="005B0548" w:rsidRDefault="005F6900" w:rsidP="005F6900">
      <w:pPr>
        <w:tabs>
          <w:tab w:val="left" w:pos="3708"/>
        </w:tabs>
        <w:jc w:val="both"/>
        <w:rPr>
          <w:color w:val="76923C" w:themeColor="accent3" w:themeShade="BF"/>
        </w:rPr>
      </w:pPr>
    </w:p>
    <w:p w14:paraId="396F707C" w14:textId="77777777" w:rsidR="005F6900" w:rsidRPr="005B0548" w:rsidRDefault="005F6900" w:rsidP="005F6900">
      <w:pPr>
        <w:tabs>
          <w:tab w:val="left" w:pos="3708"/>
        </w:tabs>
        <w:jc w:val="both"/>
        <w:rPr>
          <w:color w:val="76923C" w:themeColor="accent3" w:themeShade="BF"/>
        </w:rPr>
      </w:pPr>
    </w:p>
    <w:p w14:paraId="033B1CCB" w14:textId="77777777" w:rsidR="005F6900" w:rsidRPr="005B0548" w:rsidRDefault="005F6900" w:rsidP="005F6900">
      <w:pPr>
        <w:tabs>
          <w:tab w:val="left" w:pos="3708"/>
        </w:tabs>
        <w:jc w:val="center"/>
        <w:rPr>
          <w:color w:val="76923C" w:themeColor="accent3" w:themeShade="BF"/>
        </w:rPr>
      </w:pPr>
    </w:p>
    <w:p w14:paraId="0DCC3FC3" w14:textId="77777777" w:rsidR="005F6900" w:rsidRPr="005B0548" w:rsidRDefault="005F6900" w:rsidP="005F6900">
      <w:pPr>
        <w:tabs>
          <w:tab w:val="left" w:pos="3708"/>
        </w:tabs>
        <w:jc w:val="center"/>
        <w:rPr>
          <w:color w:val="76923C" w:themeColor="accent3" w:themeShade="BF"/>
        </w:rPr>
      </w:pPr>
    </w:p>
    <w:p w14:paraId="6FB6CF2A" w14:textId="77777777" w:rsidR="005F6900" w:rsidRPr="005B0548" w:rsidRDefault="005F6900" w:rsidP="005F6900">
      <w:pPr>
        <w:tabs>
          <w:tab w:val="left" w:pos="3708"/>
        </w:tabs>
        <w:jc w:val="center"/>
        <w:rPr>
          <w:color w:val="76923C" w:themeColor="accent3" w:themeShade="BF"/>
        </w:rPr>
      </w:pPr>
    </w:p>
    <w:p w14:paraId="53367F5C" w14:textId="77777777" w:rsidR="005F6900" w:rsidRPr="005B0548" w:rsidRDefault="005F6900" w:rsidP="005F6900">
      <w:pPr>
        <w:tabs>
          <w:tab w:val="left" w:pos="3708"/>
        </w:tabs>
        <w:jc w:val="center"/>
        <w:rPr>
          <w:color w:val="76923C" w:themeColor="accent3" w:themeShade="BF"/>
        </w:rPr>
      </w:pPr>
    </w:p>
    <w:p w14:paraId="6CC0C50F" w14:textId="77777777" w:rsidR="005F6900" w:rsidRPr="005B0548" w:rsidRDefault="005F6900" w:rsidP="005F6900">
      <w:pPr>
        <w:tabs>
          <w:tab w:val="left" w:pos="3708"/>
        </w:tabs>
        <w:jc w:val="center"/>
        <w:rPr>
          <w:color w:val="76923C" w:themeColor="accent3" w:themeShade="BF"/>
        </w:rPr>
      </w:pPr>
    </w:p>
    <w:p w14:paraId="3A54CC15" w14:textId="77777777" w:rsidR="005F6900" w:rsidRPr="005B0548" w:rsidRDefault="005F6900" w:rsidP="005F6900">
      <w:pPr>
        <w:tabs>
          <w:tab w:val="left" w:pos="3708"/>
        </w:tabs>
        <w:jc w:val="center"/>
        <w:rPr>
          <w:color w:val="76923C" w:themeColor="accent3" w:themeShade="BF"/>
        </w:rPr>
      </w:pPr>
    </w:p>
    <w:p w14:paraId="62261060" w14:textId="77777777" w:rsidR="005F6900" w:rsidRPr="005B0548" w:rsidRDefault="005F6900" w:rsidP="005F6900">
      <w:pPr>
        <w:tabs>
          <w:tab w:val="left" w:pos="3708"/>
        </w:tabs>
        <w:jc w:val="center"/>
        <w:rPr>
          <w:color w:val="76923C" w:themeColor="accent3" w:themeShade="BF"/>
        </w:rPr>
      </w:pPr>
    </w:p>
    <w:p w14:paraId="694F2F67" w14:textId="77777777" w:rsidR="005F6900" w:rsidRPr="005B0548" w:rsidRDefault="005F6900" w:rsidP="005F6900">
      <w:pPr>
        <w:tabs>
          <w:tab w:val="left" w:pos="3708"/>
        </w:tabs>
        <w:jc w:val="center"/>
        <w:rPr>
          <w:color w:val="76923C" w:themeColor="accent3" w:themeShade="BF"/>
        </w:rPr>
      </w:pPr>
    </w:p>
    <w:p w14:paraId="1DDA7E47" w14:textId="77777777" w:rsidR="005F6900" w:rsidRPr="005B0548" w:rsidRDefault="005F6900" w:rsidP="005F6900">
      <w:pPr>
        <w:tabs>
          <w:tab w:val="left" w:pos="3708"/>
        </w:tabs>
        <w:jc w:val="center"/>
        <w:rPr>
          <w:color w:val="76923C" w:themeColor="accent3" w:themeShade="BF"/>
        </w:rPr>
      </w:pPr>
    </w:p>
    <w:p w14:paraId="622B26EF" w14:textId="77777777" w:rsidR="005F6900" w:rsidRPr="005B0548" w:rsidRDefault="005F6900" w:rsidP="005F6900">
      <w:pPr>
        <w:tabs>
          <w:tab w:val="left" w:pos="3708"/>
        </w:tabs>
        <w:jc w:val="center"/>
        <w:rPr>
          <w:color w:val="76923C" w:themeColor="accent3" w:themeShade="BF"/>
        </w:rPr>
      </w:pPr>
    </w:p>
    <w:p w14:paraId="2C81810F" w14:textId="77777777" w:rsidR="005F6900" w:rsidRPr="005B0548" w:rsidRDefault="005F6900" w:rsidP="005F6900">
      <w:pPr>
        <w:tabs>
          <w:tab w:val="left" w:pos="3708"/>
        </w:tabs>
        <w:jc w:val="center"/>
        <w:rPr>
          <w:color w:val="76923C" w:themeColor="accent3" w:themeShade="BF"/>
        </w:rPr>
      </w:pPr>
    </w:p>
    <w:p w14:paraId="7F40D4F1" w14:textId="77777777" w:rsidR="005F6900" w:rsidRDefault="005F6900" w:rsidP="005F6900">
      <w:pPr>
        <w:tabs>
          <w:tab w:val="left" w:pos="3708"/>
        </w:tabs>
        <w:jc w:val="center"/>
        <w:rPr>
          <w:color w:val="76923C" w:themeColor="accent3" w:themeShade="BF"/>
        </w:rPr>
      </w:pPr>
    </w:p>
    <w:p w14:paraId="5DFFE2AC" w14:textId="77777777" w:rsidR="005B0548" w:rsidRPr="005B0548" w:rsidRDefault="005B0548" w:rsidP="005F6900">
      <w:pPr>
        <w:tabs>
          <w:tab w:val="left" w:pos="3708"/>
        </w:tabs>
        <w:jc w:val="center"/>
        <w:rPr>
          <w:color w:val="76923C" w:themeColor="accent3" w:themeShade="BF"/>
        </w:rPr>
      </w:pPr>
    </w:p>
    <w:p w14:paraId="7536201A" w14:textId="77777777" w:rsidR="005F6900" w:rsidRPr="005B0548" w:rsidRDefault="005F6900" w:rsidP="005F6900">
      <w:pPr>
        <w:tabs>
          <w:tab w:val="left" w:pos="3708"/>
        </w:tabs>
        <w:jc w:val="both"/>
        <w:rPr>
          <w:rFonts w:asciiTheme="minorHAnsi" w:hAnsiTheme="minorHAnsi"/>
          <w:color w:val="0000FF"/>
        </w:rPr>
      </w:pPr>
    </w:p>
    <w:p w14:paraId="387A7DB5" w14:textId="77777777" w:rsidR="005F6900" w:rsidRPr="005B0548" w:rsidRDefault="005F6900" w:rsidP="005F6900">
      <w:pPr>
        <w:pStyle w:val="Heading1"/>
        <w:spacing w:before="0" w:after="0"/>
        <w:rPr>
          <w:rFonts w:asciiTheme="minorHAnsi" w:hAnsiTheme="minorHAnsi" w:cstheme="minorHAnsi"/>
          <w:b/>
          <w:bCs/>
          <w:color w:val="auto"/>
          <w:sz w:val="22"/>
          <w:szCs w:val="22"/>
        </w:rPr>
      </w:pPr>
      <w:bookmarkStart w:id="3" w:name="_Toc195167989"/>
      <w:r w:rsidRPr="005B0548">
        <w:rPr>
          <w:rFonts w:asciiTheme="minorHAnsi" w:hAnsiTheme="minorHAnsi" w:cstheme="minorHAnsi"/>
          <w:b/>
          <w:bCs/>
          <w:color w:val="auto"/>
          <w:sz w:val="22"/>
          <w:szCs w:val="22"/>
        </w:rPr>
        <w:lastRenderedPageBreak/>
        <w:t>2. Зелено финансирање малих и средњих предузећа и предузетника</w:t>
      </w:r>
      <w:bookmarkEnd w:id="3"/>
    </w:p>
    <w:p w14:paraId="4E3550C2" w14:textId="77777777" w:rsidR="005F6900" w:rsidRPr="005B0548" w:rsidRDefault="005F6900" w:rsidP="005F6900">
      <w:pPr>
        <w:tabs>
          <w:tab w:val="left" w:pos="3708"/>
        </w:tabs>
        <w:jc w:val="both"/>
      </w:pPr>
    </w:p>
    <w:p w14:paraId="6E6811AB" w14:textId="77777777" w:rsidR="005F6900" w:rsidRPr="005B0548" w:rsidRDefault="005F6900" w:rsidP="005F6900">
      <w:pPr>
        <w:tabs>
          <w:tab w:val="left" w:pos="3708"/>
        </w:tabs>
        <w:jc w:val="both"/>
      </w:pPr>
      <w:r w:rsidRPr="005B0548">
        <w:t xml:space="preserve">Зелено пословање представља посвећеност примени пословних пракси које ублажавају утицај на животну средину, док истовремено омогућавају профитабилност привредног субјекта. Зелено пословање је инструмент за постизање одрживог развоја и то пре свега кроз одрживо коришћење ресурса и обновљиве енергије као и смањењу отпада. Производња и употреба обновљиве енергије односи се на било који извор употребљиве и обновљиве енергије намењен замени извора фосилних горива без нежељених последица емисије гасова са ефектом стаклене баште и других загађивача насталих сагоревањем фосилних горива. Зелене праксе, као што су енергетска ефикасност и смањење отпада омогућавају МСП-а да се прилагоде светском пословном окружењу и повећају своју конкретност. </w:t>
      </w:r>
    </w:p>
    <w:p w14:paraId="297ABC3E" w14:textId="77777777" w:rsidR="005F6900" w:rsidRPr="005B0548" w:rsidRDefault="005F6900" w:rsidP="005F6900">
      <w:pPr>
        <w:tabs>
          <w:tab w:val="left" w:pos="3708"/>
        </w:tabs>
        <w:jc w:val="both"/>
      </w:pPr>
    </w:p>
    <w:p w14:paraId="64945862" w14:textId="3CA7C916" w:rsidR="005F6900" w:rsidRPr="0028626A" w:rsidRDefault="005F6900" w:rsidP="005B0548">
      <w:pPr>
        <w:rPr>
          <w:b/>
          <w:bCs/>
          <w:i/>
          <w:iCs/>
        </w:rPr>
      </w:pPr>
      <w:r w:rsidRPr="0028626A">
        <w:rPr>
          <w:b/>
          <w:bCs/>
          <w:i/>
          <w:iCs/>
        </w:rPr>
        <w:t xml:space="preserve">Шта је заправо тзв. зелено финансирање? </w:t>
      </w:r>
    </w:p>
    <w:p w14:paraId="2A0F9AD8" w14:textId="77777777" w:rsidR="005F6900" w:rsidRPr="005B0548" w:rsidRDefault="005F6900" w:rsidP="005F6900">
      <w:pPr>
        <w:tabs>
          <w:tab w:val="left" w:pos="3708"/>
        </w:tabs>
        <w:jc w:val="both"/>
      </w:pPr>
    </w:p>
    <w:p w14:paraId="33B411E2" w14:textId="77777777" w:rsidR="005F6900" w:rsidRPr="005B0548" w:rsidRDefault="005F6900" w:rsidP="005F6900">
      <w:pPr>
        <w:tabs>
          <w:tab w:val="left" w:pos="3708"/>
        </w:tabs>
        <w:jc w:val="both"/>
      </w:pPr>
      <w:r w:rsidRPr="005B0548">
        <w:t>Данас се термин "зелено финансирање" све чешће користи, означавајући интеграцију принципа заштите животне средине у финансијске одлуке на свим нивоима. Са растућом свешћу о ограничености природних ресурса и потреби за њиховим одрживим коришћењем, предузећа и појединци све више препознају одговорност у доношењу финансијских одлука које подржавају еколошку равнотежу. Овај приступ не само да доприноси заштити животне средине, већ и утиче на дугорочну економску стабилност и одрживи развој.</w:t>
      </w:r>
    </w:p>
    <w:p w14:paraId="1E1ED489" w14:textId="77777777" w:rsidR="005F6900" w:rsidRPr="005B0548" w:rsidRDefault="005F6900" w:rsidP="005F6900">
      <w:pPr>
        <w:tabs>
          <w:tab w:val="left" w:pos="3708"/>
        </w:tabs>
        <w:jc w:val="both"/>
      </w:pPr>
    </w:p>
    <w:p w14:paraId="1FCC3F8C" w14:textId="77777777" w:rsidR="005F6900" w:rsidRPr="005B0548" w:rsidRDefault="005F6900" w:rsidP="005F6900">
      <w:pPr>
        <w:tabs>
          <w:tab w:val="left" w:pos="3708"/>
        </w:tabs>
        <w:jc w:val="both"/>
      </w:pPr>
      <w:r w:rsidRPr="005B0548">
        <w:t>Зелено финансирање представља процес алокације финансијских средстава за пројекте, производе и иницијативе које доприносе заштити животне средине, одрживом развоју и енергетској ефикасности. У пословном контексту, овај концепт подразумева укључивање еколошких критеријума у инвестиционе одлуке, пословне моделе и стратегије раста. Циљ зеленог финансирања је да подстакне привредне субјекте да смање еколошки отисак, оптимизују ресурсе и побољшају одрживост пословања кроз различите механизме – од субвенција и повољних кредита до подстицаја за коришћење обновљивих извора енергије и еколошки прихватљивих технологија.</w:t>
      </w:r>
    </w:p>
    <w:p w14:paraId="79AEA50A" w14:textId="77777777" w:rsidR="005F6900" w:rsidRPr="005B0548" w:rsidRDefault="005F6900" w:rsidP="005F6900">
      <w:pPr>
        <w:tabs>
          <w:tab w:val="left" w:pos="3708"/>
        </w:tabs>
        <w:jc w:val="both"/>
      </w:pPr>
    </w:p>
    <w:p w14:paraId="3BFE5FE7" w14:textId="77777777" w:rsidR="005F6900" w:rsidRPr="005B0548" w:rsidRDefault="005F6900" w:rsidP="005F6900">
      <w:pPr>
        <w:tabs>
          <w:tab w:val="left" w:pos="3708"/>
        </w:tabs>
        <w:jc w:val="both"/>
      </w:pPr>
      <w:r w:rsidRPr="005B0548">
        <w:t>У све већем броју земаља, укључујући и Србију, растућа свест о потреби заштите природних ресурса и смањења негативног утицаја индустријских активности доводи до развоја финансијских инструмената намењених подршци предузетницима и малим и средњим предузећима (МСП) у транзицији ка зеленој економији.</w:t>
      </w:r>
    </w:p>
    <w:p w14:paraId="28B1F0B8" w14:textId="77777777" w:rsidR="005F6900" w:rsidRPr="005B0548" w:rsidRDefault="005F6900" w:rsidP="005F6900">
      <w:pPr>
        <w:tabs>
          <w:tab w:val="left" w:pos="3708"/>
        </w:tabs>
        <w:jc w:val="both"/>
      </w:pPr>
    </w:p>
    <w:p w14:paraId="4D6C877A" w14:textId="77777777" w:rsidR="005F6900" w:rsidRPr="005B0548" w:rsidRDefault="005F6900" w:rsidP="005F6900">
      <w:pPr>
        <w:tabs>
          <w:tab w:val="left" w:pos="3708"/>
        </w:tabs>
        <w:jc w:val="both"/>
      </w:pPr>
      <w:r w:rsidRPr="005B0548">
        <w:t>Зелено финансирање подразумева кредитирање или инвестирање у пројекте и мере које доприносе смањењу потрошње енергије и других ресурса, чиме се директно утиче на смањење емисије гасова са ефектом стаклене баште.</w:t>
      </w:r>
    </w:p>
    <w:p w14:paraId="57963BD8" w14:textId="77777777" w:rsidR="005F6900" w:rsidRPr="005B0548" w:rsidRDefault="005F6900" w:rsidP="005F6900">
      <w:pPr>
        <w:tabs>
          <w:tab w:val="left" w:pos="3708"/>
        </w:tabs>
        <w:jc w:val="both"/>
      </w:pPr>
    </w:p>
    <w:p w14:paraId="3982B638" w14:textId="77777777" w:rsidR="005F6900" w:rsidRPr="005B0548" w:rsidRDefault="005F6900" w:rsidP="005F6900">
      <w:pPr>
        <w:tabs>
          <w:tab w:val="left" w:pos="3708"/>
        </w:tabs>
        <w:jc w:val="both"/>
      </w:pPr>
      <w:r w:rsidRPr="005B0548">
        <w:t>У пракси, то значи улагање у енергетску ефикасност, обновљиве изворе енергије и друге иницијативе које имају позитиван утицај на животну средину, попут заштите вода, ваздуха и земљишта, унапређења управљања отпадом и других одрживих решења. У свету постоје специјализоване такозване „зелене банке“ које се баве искључиво оваквим кредитирањем, али и многе друге финансијске институције укључују зелене финансијске производе у своју понуду.</w:t>
      </w:r>
    </w:p>
    <w:p w14:paraId="669559A2" w14:textId="77777777" w:rsidR="005F6900" w:rsidRPr="005B0548" w:rsidRDefault="005F6900" w:rsidP="005F6900">
      <w:pPr>
        <w:tabs>
          <w:tab w:val="left" w:pos="3708"/>
        </w:tabs>
        <w:jc w:val="both"/>
      </w:pPr>
    </w:p>
    <w:p w14:paraId="0A9C8D26" w14:textId="19F5FD89" w:rsidR="005F6900" w:rsidRPr="005B0548" w:rsidRDefault="005F6900" w:rsidP="005F6900">
      <w:pPr>
        <w:tabs>
          <w:tab w:val="left" w:pos="3708"/>
        </w:tabs>
        <w:jc w:val="both"/>
      </w:pPr>
      <w:r w:rsidRPr="005B0548">
        <w:t xml:space="preserve">Сам термин „зелено финансирање“ има више варијација, па се често срећу изрази </w:t>
      </w:r>
      <w:r w:rsidR="005B0548">
        <w:t xml:space="preserve">на енглеском </w:t>
      </w:r>
      <w:r w:rsidRPr="005B0548">
        <w:t xml:space="preserve">попут </w:t>
      </w:r>
      <w:r w:rsidR="005B0548">
        <w:rPr>
          <w:rFonts w:cs="Calibri"/>
        </w:rPr>
        <w:t>"</w:t>
      </w:r>
      <w:proofErr w:type="spellStart"/>
      <w:r w:rsidR="005B0548">
        <w:t>climate</w:t>
      </w:r>
      <w:proofErr w:type="spellEnd"/>
      <w:r w:rsidRPr="005B0548">
        <w:t xml:space="preserve"> </w:t>
      </w:r>
      <w:proofErr w:type="spellStart"/>
      <w:r w:rsidR="005B0548">
        <w:t>finance</w:t>
      </w:r>
      <w:proofErr w:type="spellEnd"/>
      <w:r w:rsidR="005B0548">
        <w:rPr>
          <w:rFonts w:cs="Calibri"/>
        </w:rPr>
        <w:t>"</w:t>
      </w:r>
      <w:r w:rsidRPr="005B0548">
        <w:t xml:space="preserve">, </w:t>
      </w:r>
      <w:r w:rsidR="005B0548">
        <w:rPr>
          <w:rFonts w:cs="Calibri"/>
        </w:rPr>
        <w:t>"</w:t>
      </w:r>
      <w:proofErr w:type="spellStart"/>
      <w:r w:rsidR="005B0548">
        <w:t>mitigation</w:t>
      </w:r>
      <w:proofErr w:type="spellEnd"/>
      <w:r w:rsidRPr="005B0548">
        <w:t xml:space="preserve"> </w:t>
      </w:r>
      <w:proofErr w:type="spellStart"/>
      <w:r w:rsidR="005B0548">
        <w:t>and</w:t>
      </w:r>
      <w:proofErr w:type="spellEnd"/>
      <w:r w:rsidRPr="005B0548">
        <w:t xml:space="preserve"> </w:t>
      </w:r>
      <w:proofErr w:type="spellStart"/>
      <w:r w:rsidR="005B0548">
        <w:t>adaptation</w:t>
      </w:r>
      <w:proofErr w:type="spellEnd"/>
      <w:r w:rsidRPr="005B0548">
        <w:t xml:space="preserve"> </w:t>
      </w:r>
      <w:proofErr w:type="spellStart"/>
      <w:r w:rsidR="005B0548">
        <w:t>finance</w:t>
      </w:r>
      <w:proofErr w:type="spellEnd"/>
      <w:r w:rsidR="005B0548">
        <w:rPr>
          <w:rFonts w:cs="Calibri"/>
        </w:rPr>
        <w:t>"</w:t>
      </w:r>
      <w:r w:rsidRPr="005B0548">
        <w:t xml:space="preserve"> </w:t>
      </w:r>
      <w:r w:rsidR="005B0548">
        <w:t>или</w:t>
      </w:r>
      <w:r w:rsidRPr="005B0548">
        <w:t xml:space="preserve"> </w:t>
      </w:r>
      <w:r w:rsidR="005B0548">
        <w:rPr>
          <w:rFonts w:cs="Calibri"/>
        </w:rPr>
        <w:t>"</w:t>
      </w:r>
      <w:proofErr w:type="spellStart"/>
      <w:r w:rsidR="005B0548">
        <w:t>energ</w:t>
      </w:r>
      <w:r w:rsidRPr="005B0548">
        <w:t>y</w:t>
      </w:r>
      <w:proofErr w:type="spellEnd"/>
      <w:r w:rsidRPr="005B0548">
        <w:t xml:space="preserve"> </w:t>
      </w:r>
      <w:proofErr w:type="spellStart"/>
      <w:r w:rsidR="005B0548">
        <w:t>efficienc</w:t>
      </w:r>
      <w:r w:rsidRPr="005B0548">
        <w:t>y</w:t>
      </w:r>
      <w:proofErr w:type="spellEnd"/>
      <w:r w:rsidRPr="005B0548">
        <w:t xml:space="preserve"> </w:t>
      </w:r>
      <w:proofErr w:type="spellStart"/>
      <w:r w:rsidR="005B0548">
        <w:t>and</w:t>
      </w:r>
      <w:proofErr w:type="spellEnd"/>
      <w:r w:rsidRPr="005B0548">
        <w:t xml:space="preserve"> </w:t>
      </w:r>
      <w:proofErr w:type="spellStart"/>
      <w:r w:rsidR="005B0548">
        <w:t>renenjables</w:t>
      </w:r>
      <w:proofErr w:type="spellEnd"/>
      <w:r w:rsidRPr="005B0548">
        <w:t xml:space="preserve"> </w:t>
      </w:r>
      <w:proofErr w:type="spellStart"/>
      <w:r w:rsidR="005B0548">
        <w:t>finance</w:t>
      </w:r>
      <w:proofErr w:type="spellEnd"/>
      <w:r w:rsidR="005B0548">
        <w:rPr>
          <w:rFonts w:cs="Calibri"/>
        </w:rPr>
        <w:t>"</w:t>
      </w:r>
      <w:r w:rsidRPr="005B0548">
        <w:t>. Ови појмови су у међународној употреби и код нас се још увек најчешће користе у оригиналној форми.</w:t>
      </w:r>
    </w:p>
    <w:p w14:paraId="32DF907F" w14:textId="77777777" w:rsidR="005F6900" w:rsidRPr="005B0548" w:rsidRDefault="005F6900" w:rsidP="005F6900">
      <w:pPr>
        <w:tabs>
          <w:tab w:val="left" w:pos="3708"/>
        </w:tabs>
        <w:jc w:val="both"/>
      </w:pPr>
    </w:p>
    <w:p w14:paraId="45B719A0" w14:textId="2610D3F9" w:rsidR="005F6900" w:rsidRPr="005B0548" w:rsidRDefault="005F6900" w:rsidP="005F6900">
      <w:pPr>
        <w:tabs>
          <w:tab w:val="left" w:pos="3708"/>
        </w:tabs>
        <w:jc w:val="both"/>
      </w:pPr>
      <w:r w:rsidRPr="005B0548">
        <w:t>Зелено финансирање је уско повезано са глобалним изазовима климатских промена и има кључну улогу у подстицању одрживог развоја. Његов значај посебно је порастао након Париског споразума из 2015. године, када се готово 200 земаља обавезало на смањење емисија угљен-диоксида у односу на ниво из 1990. године. Циљ овог споразума је ограничавање раста глобалне температуре на испод 2°</w:t>
      </w:r>
      <w:r w:rsidR="005B0548">
        <w:t>С</w:t>
      </w:r>
      <w:r w:rsidRPr="005B0548">
        <w:t xml:space="preserve"> у односу на </w:t>
      </w:r>
      <w:r w:rsidR="005B0548" w:rsidRPr="005B0548">
        <w:t>пред индустријски</w:t>
      </w:r>
      <w:r w:rsidRPr="005B0548">
        <w:t xml:space="preserve"> период, чиме би се избегле теже последице климатских промена.</w:t>
      </w:r>
    </w:p>
    <w:p w14:paraId="7EB1EDB2" w14:textId="77777777" w:rsidR="005F6900" w:rsidRPr="005B0548" w:rsidRDefault="005F6900" w:rsidP="005F6900">
      <w:pPr>
        <w:tabs>
          <w:tab w:val="left" w:pos="3708"/>
        </w:tabs>
        <w:jc w:val="both"/>
      </w:pPr>
      <w:r w:rsidRPr="005B0548">
        <w:lastRenderedPageBreak/>
        <w:t>Како би се овај циљ остварио, неопходна су велика улагања у мере прилагођавања и ублажавања климатских промена. Због тога ће у деценијама које долазе зелено финансирање играти кључну улогу у обликовању економске и еколошке будућности планете.</w:t>
      </w:r>
    </w:p>
    <w:p w14:paraId="0AF8B396" w14:textId="77777777" w:rsidR="005F6900" w:rsidRPr="005B0548" w:rsidRDefault="005F6900" w:rsidP="005F6900">
      <w:pPr>
        <w:tabs>
          <w:tab w:val="left" w:pos="3708"/>
        </w:tabs>
        <w:jc w:val="both"/>
      </w:pPr>
    </w:p>
    <w:p w14:paraId="020E46F4" w14:textId="6EA0CB26" w:rsidR="005F6900" w:rsidRPr="0028626A" w:rsidRDefault="005F6900" w:rsidP="005B0548">
      <w:pPr>
        <w:rPr>
          <w:b/>
          <w:bCs/>
          <w:i/>
          <w:iCs/>
        </w:rPr>
      </w:pPr>
      <w:r w:rsidRPr="0028626A">
        <w:rPr>
          <w:b/>
          <w:bCs/>
          <w:i/>
          <w:iCs/>
        </w:rPr>
        <w:t>Како функционише зелено финансирање у пракси?</w:t>
      </w:r>
      <w:r w:rsidRPr="0028626A">
        <w:rPr>
          <w:b/>
          <w:bCs/>
          <w:i/>
          <w:iCs/>
          <w:vertAlign w:val="superscript"/>
        </w:rPr>
        <w:footnoteReference w:id="1"/>
      </w:r>
    </w:p>
    <w:p w14:paraId="78C4C0B9" w14:textId="77777777" w:rsidR="005F6900" w:rsidRPr="005B0548" w:rsidRDefault="005F6900" w:rsidP="005F6900">
      <w:pPr>
        <w:spacing w:before="100" w:beforeAutospacing="1" w:after="100" w:afterAutospacing="1"/>
        <w:jc w:val="both"/>
        <w:rPr>
          <w:rFonts w:cs="Calibri"/>
          <w:lang w:eastAsia="en-GB"/>
        </w:rPr>
      </w:pPr>
      <w:r w:rsidRPr="005B0548">
        <w:rPr>
          <w:rFonts w:ascii="Times New Roman" w:hAnsi="Times New Roman" w:cs="Times New Roman"/>
          <w:sz w:val="24"/>
          <w:szCs w:val="24"/>
          <w:lang w:eastAsia="en-GB"/>
        </w:rPr>
        <w:t>​</w:t>
      </w:r>
      <w:r w:rsidRPr="005B0548">
        <w:rPr>
          <w:rFonts w:cs="Calibri"/>
          <w:lang w:eastAsia="en-GB"/>
        </w:rPr>
        <w:t>Зелени кредити представљају специјализоване финансијске производе намењене пројектима који испуњавају одређене техничке критеријуме у погледу енергетске ефикасности и смањења емисије гасова са ефектом стаклене баште. Ови критеријуми се дефинишу на основу прецизних калкулација које омогућавају процену очекиваних уштеда у потрошњи енергије и/или смањења емисије штетних гасова.</w:t>
      </w:r>
    </w:p>
    <w:p w14:paraId="2F22815B"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Да би инвестиција била квалификована за зелени кредит, потребно је да обезбеди најмање 20% уштеде у потрошњи енергије. Овај праг уштеде представља индустријски стандард који примењује већина банака и међународних фондова специјализованих за зелено финансирање. Када су у питању обновљиви извори енергије, већина технологија у овој области испуњава услове за зелено финансирање због њиховог одрживог карактера. У пракси се најчешће финансирају пројекти изградње соларних електрана, хидроелектрана, ветроелектрана, биогасних постројења и других објеката који користе биомасу као извор енергије.</w:t>
      </w:r>
    </w:p>
    <w:p w14:paraId="59C94C1C"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Поред улагања у енергетску ефикасност и обновљиве изворе, зелено финансирање обухвата и пројекте усмерене на заштиту природних ресурса, као што су мере очувања квалитета воде, земљишта и ваздуха, као и унапређење система управљања отпадом. Иако ови пројекти често немају једноставне квантитативне показатеље уштеда, опште је прихваћено да значајно доприносе заштити животне средине. Добар пример таквог приступа јесте финансирање органске производње, која промовише одрживу пољопривреду и смањење негативног утицаја на екосистем.</w:t>
      </w:r>
    </w:p>
    <w:p w14:paraId="1A79B606"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Извори финансирања за зелене пројекте укључују:</w:t>
      </w:r>
    </w:p>
    <w:p w14:paraId="4A48D494" w14:textId="15A1D90B" w:rsidR="005F6900" w:rsidRPr="005B0548" w:rsidRDefault="005F6900" w:rsidP="002F7752">
      <w:pPr>
        <w:jc w:val="both"/>
        <w:rPr>
          <w:rFonts w:cs="Calibri"/>
          <w:lang w:eastAsia="en-GB"/>
        </w:rPr>
      </w:pPr>
      <w:r w:rsidRPr="005B0548">
        <w:rPr>
          <w:rFonts w:cs="Calibri"/>
          <w:lang w:eastAsia="en-GB"/>
        </w:rPr>
        <w:t>•</w:t>
      </w:r>
      <w:r w:rsidRPr="005B0548">
        <w:rPr>
          <w:rFonts w:cs="Calibri"/>
          <w:lang w:eastAsia="en-GB"/>
        </w:rPr>
        <w:tab/>
      </w:r>
      <w:r w:rsidRPr="005B0548">
        <w:rPr>
          <w:rFonts w:cs="Calibri"/>
          <w:b/>
          <w:lang w:eastAsia="en-GB"/>
        </w:rPr>
        <w:t>Међународне финансијске институције:</w:t>
      </w:r>
      <w:r w:rsidRPr="005B0548">
        <w:rPr>
          <w:rFonts w:cs="Calibri"/>
          <w:lang w:eastAsia="en-GB"/>
        </w:rPr>
        <w:t xml:space="preserve"> Организације попут Европске банке за обнову и развој (</w:t>
      </w:r>
      <w:r w:rsidR="005B0548">
        <w:rPr>
          <w:rFonts w:cs="Calibri"/>
          <w:lang w:eastAsia="en-GB"/>
        </w:rPr>
        <w:t>EBRD</w:t>
      </w:r>
      <w:r w:rsidRPr="005B0548">
        <w:rPr>
          <w:rFonts w:cs="Calibri"/>
          <w:lang w:eastAsia="en-GB"/>
        </w:rPr>
        <w:t xml:space="preserve">) </w:t>
      </w:r>
      <w:r w:rsidR="002F7752">
        <w:rPr>
          <w:rFonts w:cs="Calibri"/>
          <w:lang w:eastAsia="en-GB"/>
        </w:rPr>
        <w:t>и</w:t>
      </w:r>
      <w:r w:rsidRPr="005B0548">
        <w:rPr>
          <w:rFonts w:cs="Calibri"/>
          <w:lang w:eastAsia="en-GB"/>
        </w:rPr>
        <w:t xml:space="preserve"> </w:t>
      </w:r>
      <w:r w:rsidR="005B0548">
        <w:rPr>
          <w:rFonts w:cs="Calibri"/>
          <w:lang w:val="en-US" w:eastAsia="en-GB"/>
        </w:rPr>
        <w:t>K</w:t>
      </w:r>
      <w:r w:rsidR="002F7752">
        <w:rPr>
          <w:rFonts w:cs="Calibri"/>
          <w:lang w:val="en-US" w:eastAsia="en-GB"/>
        </w:rPr>
        <w:t>fW</w:t>
      </w:r>
      <w:r w:rsidRPr="005B0548">
        <w:rPr>
          <w:rFonts w:cs="Calibri"/>
          <w:lang w:eastAsia="en-GB"/>
        </w:rPr>
        <w:t xml:space="preserve"> банке пружају финансијску подршку кроз кредитне линије намењене локалним банкама за даље пласирање зелених кредита.</w:t>
      </w:r>
    </w:p>
    <w:p w14:paraId="671007C8" w14:textId="77777777" w:rsidR="005F6900" w:rsidRPr="005B0548" w:rsidRDefault="005F6900" w:rsidP="002F7752">
      <w:pPr>
        <w:jc w:val="both"/>
        <w:rPr>
          <w:rFonts w:cs="Calibri"/>
          <w:lang w:eastAsia="en-GB"/>
        </w:rPr>
      </w:pPr>
      <w:r w:rsidRPr="005B0548">
        <w:rPr>
          <w:rFonts w:cs="Calibri"/>
          <w:lang w:eastAsia="en-GB"/>
        </w:rPr>
        <w:t>•</w:t>
      </w:r>
      <w:r w:rsidRPr="005B0548">
        <w:rPr>
          <w:rFonts w:cs="Calibri"/>
          <w:lang w:eastAsia="en-GB"/>
        </w:rPr>
        <w:tab/>
      </w:r>
      <w:r w:rsidRPr="005B0548">
        <w:rPr>
          <w:rFonts w:cs="Calibri"/>
          <w:b/>
          <w:lang w:eastAsia="en-GB"/>
        </w:rPr>
        <w:t>Комерцијалне банке:</w:t>
      </w:r>
      <w:r w:rsidRPr="005B0548">
        <w:rPr>
          <w:rFonts w:cs="Calibri"/>
          <w:lang w:eastAsia="en-GB"/>
        </w:rPr>
        <w:t xml:space="preserve"> Све већи број домаћих банака препознаје потенцијал зеленог финансирања и нуди специјализоване кредитне производе за пројекте енергетске ефикасности и обновљивих извора енергије.</w:t>
      </w:r>
    </w:p>
    <w:p w14:paraId="6D077193" w14:textId="77777777" w:rsidR="005F6900" w:rsidRPr="005B0548" w:rsidRDefault="005F6900" w:rsidP="002F7752">
      <w:pPr>
        <w:jc w:val="both"/>
        <w:rPr>
          <w:rFonts w:cs="Calibri"/>
          <w:lang w:eastAsia="en-GB"/>
        </w:rPr>
      </w:pPr>
      <w:r w:rsidRPr="005B0548">
        <w:rPr>
          <w:rFonts w:cs="Calibri"/>
          <w:lang w:eastAsia="en-GB"/>
        </w:rPr>
        <w:t>•</w:t>
      </w:r>
      <w:r w:rsidRPr="005B0548">
        <w:rPr>
          <w:rFonts w:cs="Calibri"/>
          <w:lang w:eastAsia="en-GB"/>
        </w:rPr>
        <w:tab/>
      </w:r>
      <w:r w:rsidRPr="005B0548">
        <w:rPr>
          <w:rFonts w:cs="Calibri"/>
          <w:b/>
          <w:lang w:eastAsia="en-GB"/>
        </w:rPr>
        <w:t>Државни фондови и субвенције</w:t>
      </w:r>
      <w:r w:rsidRPr="005B0548">
        <w:rPr>
          <w:rFonts w:cs="Calibri"/>
          <w:lang w:eastAsia="en-GB"/>
        </w:rPr>
        <w:t>: Владе често пружају подстицаје у виду субвенција, грантова или пореских олакшица за пројекте који доприносе смањењу негативног утицаја на животну средину.</w:t>
      </w:r>
    </w:p>
    <w:p w14:paraId="519D0026" w14:textId="77777777" w:rsidR="005F6900" w:rsidRPr="005B0548" w:rsidRDefault="005F6900" w:rsidP="002F7752">
      <w:pPr>
        <w:pStyle w:val="ListParagraph"/>
        <w:numPr>
          <w:ilvl w:val="0"/>
          <w:numId w:val="1"/>
        </w:numPr>
        <w:ind w:left="0" w:firstLine="0"/>
        <w:jc w:val="both"/>
        <w:rPr>
          <w:rFonts w:cs="Calibri"/>
          <w:lang w:eastAsia="en-GB"/>
        </w:rPr>
      </w:pPr>
      <w:r w:rsidRPr="005B0548">
        <w:rPr>
          <w:rFonts w:cs="Calibri"/>
          <w:b/>
          <w:bCs/>
          <w:lang w:eastAsia="en-GB"/>
        </w:rPr>
        <w:t xml:space="preserve">Зелене обвезнице: </w:t>
      </w:r>
      <w:r w:rsidRPr="005B0548">
        <w:rPr>
          <w:rFonts w:cs="Calibri"/>
          <w:bCs/>
          <w:lang w:eastAsia="en-GB"/>
        </w:rPr>
        <w:t>Издавање зелених обвезница постаје све популарнији начин прикупљања средстава за финансирање еколошких пројеката</w:t>
      </w:r>
      <w:r w:rsidRPr="005B0548">
        <w:rPr>
          <w:rFonts w:cs="Calibri"/>
          <w:b/>
          <w:bCs/>
          <w:lang w:eastAsia="en-GB"/>
        </w:rPr>
        <w:t>.</w:t>
      </w:r>
    </w:p>
    <w:p w14:paraId="0F1B9371" w14:textId="77777777" w:rsidR="005F6900" w:rsidRPr="005B0548" w:rsidRDefault="005F6900" w:rsidP="005F6900">
      <w:pPr>
        <w:spacing w:before="100" w:beforeAutospacing="1" w:after="100" w:afterAutospacing="1"/>
        <w:jc w:val="both"/>
        <w:rPr>
          <w:rFonts w:cs="Calibri"/>
          <w:lang w:eastAsia="en-GB"/>
        </w:rPr>
      </w:pPr>
      <w:r w:rsidRPr="005B0548">
        <w:rPr>
          <w:rFonts w:cs="Calibri"/>
          <w:bCs/>
          <w:lang w:eastAsia="en-GB"/>
        </w:rPr>
        <w:t xml:space="preserve">У Србији, зелено финансирање је у порасту, при чему се очекује да ће све већи број банака препознати пословну прилику у овом сегменту, посебно у контексту усклађивања са регулативом Европске уније у области заштите животне средине. </w:t>
      </w:r>
      <w:r w:rsidRPr="005B0548">
        <w:rPr>
          <w:rFonts w:cs="Calibri"/>
          <w:lang w:eastAsia="en-GB"/>
        </w:rPr>
        <w:t>​</w:t>
      </w:r>
    </w:p>
    <w:p w14:paraId="2FF3FD2A" w14:textId="7710890D" w:rsidR="005F6900" w:rsidRPr="0028626A" w:rsidRDefault="002F7752" w:rsidP="005F6900">
      <w:pPr>
        <w:rPr>
          <w:b/>
          <w:i/>
          <w:iCs/>
        </w:rPr>
      </w:pPr>
      <w:r w:rsidRPr="0028626A">
        <w:rPr>
          <w:b/>
          <w:i/>
          <w:iCs/>
        </w:rPr>
        <w:lastRenderedPageBreak/>
        <w:t>Зелено</w:t>
      </w:r>
      <w:r w:rsidR="005F6900" w:rsidRPr="0028626A">
        <w:rPr>
          <w:b/>
          <w:i/>
          <w:iCs/>
        </w:rPr>
        <w:t xml:space="preserve"> </w:t>
      </w:r>
      <w:r w:rsidRPr="0028626A">
        <w:rPr>
          <w:b/>
          <w:i/>
          <w:iCs/>
        </w:rPr>
        <w:t>VS</w:t>
      </w:r>
      <w:r w:rsidR="005F6900" w:rsidRPr="0028626A">
        <w:rPr>
          <w:b/>
          <w:i/>
          <w:iCs/>
        </w:rPr>
        <w:t xml:space="preserve"> Стандардно финансирање</w:t>
      </w:r>
      <w:r w:rsidR="005F6900" w:rsidRPr="0028626A">
        <w:rPr>
          <w:rStyle w:val="FootnoteReference"/>
          <w:b/>
          <w:i/>
          <w:iCs/>
        </w:rPr>
        <w:footnoteReference w:id="2"/>
      </w:r>
    </w:p>
    <w:p w14:paraId="3E44070E" w14:textId="77777777" w:rsidR="005F6900" w:rsidRPr="005B0548" w:rsidRDefault="005F6900" w:rsidP="005F6900">
      <w:pPr>
        <w:rPr>
          <w:b/>
        </w:rPr>
      </w:pPr>
    </w:p>
    <w:p w14:paraId="52CF72E9" w14:textId="77777777" w:rsidR="005F6900" w:rsidRPr="005B0548" w:rsidRDefault="005F6900" w:rsidP="005F6900">
      <w:pPr>
        <w:jc w:val="both"/>
      </w:pPr>
      <w:r w:rsidRPr="005B0548">
        <w:t>Зелено финансирање нуди низ предности у поређењу са класичним кредитирањем, како за клијенте, тако и за финансијске институције.</w:t>
      </w:r>
    </w:p>
    <w:p w14:paraId="7B7831C7" w14:textId="77777777" w:rsidR="005F6900" w:rsidRPr="005B0548" w:rsidRDefault="005F6900" w:rsidP="005F6900">
      <w:pPr>
        <w:jc w:val="both"/>
      </w:pPr>
    </w:p>
    <w:p w14:paraId="4D1A9707" w14:textId="77777777" w:rsidR="005F6900" w:rsidRPr="005B0548" w:rsidRDefault="005F6900" w:rsidP="005F6900">
      <w:pPr>
        <w:jc w:val="both"/>
      </w:pPr>
      <w:r w:rsidRPr="005B0548">
        <w:t>Прво, инвестиције које се финансирају зеленим кредитима имају јасно мерљив и опипљив утицај – уштеда енергије и смањење трошкова од најмање 20%. Ове уштеде директно побољшавају финансијске перформансе предузећа, омогућавајући им већу ликвидност и додатни простор за нове инвестиције.</w:t>
      </w:r>
    </w:p>
    <w:p w14:paraId="1020CB93" w14:textId="77777777" w:rsidR="005F6900" w:rsidRPr="005B0548" w:rsidRDefault="005F6900" w:rsidP="005F6900">
      <w:pPr>
        <w:jc w:val="both"/>
      </w:pPr>
    </w:p>
    <w:p w14:paraId="552E8CAF" w14:textId="77777777" w:rsidR="005F6900" w:rsidRPr="005B0548" w:rsidRDefault="005F6900" w:rsidP="005F6900">
      <w:pPr>
        <w:jc w:val="both"/>
      </w:pPr>
      <w:r w:rsidRPr="005B0548">
        <w:t xml:space="preserve">Друго, банке које нуде зелене кредите остварују додатну вредност, јер је стопа кашњења у отплати ових кредита значајно нижа у поређењу са стандардним кредитним </w:t>
      </w:r>
      <w:proofErr w:type="spellStart"/>
      <w:r w:rsidRPr="005B0548">
        <w:t>портфолијом</w:t>
      </w:r>
      <w:proofErr w:type="spellEnd"/>
      <w:r w:rsidRPr="005B0548">
        <w:t xml:space="preserve"> – чак и до три пута. Ова статистика показује да су инвестиције у енергетски ефикасне и одрживе пројекте не само еколошки одговорне већ и финансијски стабилне, са мањим ризиком од неизмиривања обавеза.</w:t>
      </w:r>
    </w:p>
    <w:p w14:paraId="75D7FDF2" w14:textId="77777777" w:rsidR="005F6900" w:rsidRPr="005B0548" w:rsidRDefault="005F6900" w:rsidP="005F6900">
      <w:pPr>
        <w:jc w:val="both"/>
      </w:pPr>
    </w:p>
    <w:p w14:paraId="7A362E16" w14:textId="77777777" w:rsidR="005F6900" w:rsidRPr="005B0548" w:rsidRDefault="005F6900" w:rsidP="005F6900">
      <w:pPr>
        <w:jc w:val="both"/>
      </w:pPr>
      <w:r w:rsidRPr="005B0548">
        <w:t>Треће, зелено финансирање је углавном усмерено на дугорочне инвестиције са роком отплате од пет и више година. Тиме се осигурава стабилан и дугорочан приход за финансијску институцију, док клијентима омогућава постепено остваривање повратка на улагања кроз смањене оперативне трошкове.</w:t>
      </w:r>
    </w:p>
    <w:p w14:paraId="0B9307E4" w14:textId="77777777" w:rsidR="005F6900" w:rsidRPr="005B0548" w:rsidRDefault="005F6900" w:rsidP="005F6900">
      <w:pPr>
        <w:jc w:val="both"/>
      </w:pPr>
    </w:p>
    <w:p w14:paraId="22A28016" w14:textId="77777777" w:rsidR="005F6900" w:rsidRPr="005B0548" w:rsidRDefault="005F6900" w:rsidP="005F6900">
      <w:pPr>
        <w:jc w:val="both"/>
      </w:pPr>
      <w:r w:rsidRPr="005B0548">
        <w:t>Све у свему, зелено финансирање доноси обостране користи – предузећима пружа приступ повољнијим условима финансирања и дугорочно смањује трошкове пословања, док банкама омогућава сигурнији и одрживији кредитни портфељ.</w:t>
      </w:r>
    </w:p>
    <w:p w14:paraId="4F187FB1" w14:textId="77777777" w:rsidR="005F6900" w:rsidRPr="005B0548" w:rsidRDefault="005F6900" w:rsidP="005F6900">
      <w:pPr>
        <w:jc w:val="both"/>
      </w:pPr>
    </w:p>
    <w:p w14:paraId="79E78FE0" w14:textId="77777777" w:rsidR="005F6900" w:rsidRPr="005B0548" w:rsidRDefault="005F6900" w:rsidP="005F6900">
      <w:pPr>
        <w:jc w:val="both"/>
      </w:pPr>
      <w:r w:rsidRPr="005B0548">
        <w:t>Зелено финансирање пружа низ предности у односу на стандардне кредитне производе, доносећи користи како за клијенте, тако и за финансијске институције.</w:t>
      </w:r>
    </w:p>
    <w:p w14:paraId="438777C4" w14:textId="77777777" w:rsidR="005F6900" w:rsidRPr="005B0548" w:rsidRDefault="005F6900" w:rsidP="005F6900">
      <w:pPr>
        <w:jc w:val="both"/>
      </w:pPr>
    </w:p>
    <w:p w14:paraId="3F0A698D" w14:textId="77777777" w:rsidR="005F6900" w:rsidRPr="005B0548" w:rsidRDefault="005F6900" w:rsidP="005F6900">
      <w:pPr>
        <w:jc w:val="both"/>
      </w:pPr>
      <w:r w:rsidRPr="005B0548">
        <w:t xml:space="preserve">Финансијске предности за клијенте: Инвестиције финансиране зеленим кредитима често резултирају значајним уштедама енергије и смањењем оперативних трошкова, што побољшава финансијске перформансе предузећа и ствара простор за нове инвестиције. </w:t>
      </w:r>
    </w:p>
    <w:p w14:paraId="0D802DC7" w14:textId="77777777" w:rsidR="005F6900" w:rsidRPr="005B0548" w:rsidRDefault="005F6900" w:rsidP="005F6900"/>
    <w:p w14:paraId="0968DFD2" w14:textId="77777777" w:rsidR="005F6900" w:rsidRPr="005B0548" w:rsidRDefault="005F6900" w:rsidP="005F6900">
      <w:r w:rsidRPr="005B0548">
        <w:t xml:space="preserve">Смањен кредитни ризик за банке: Банке које нуде зелене кредите бележе ниже стопе кашњења у отплати ових кредита у поређењу са стандардним кредитима, што указује на мањи кредитни ризик и већу финансијску стабилност оваквих инвестиција. </w:t>
      </w:r>
    </w:p>
    <w:p w14:paraId="175F3B6E" w14:textId="77777777" w:rsidR="005F6900" w:rsidRPr="005B0548" w:rsidRDefault="005F6900" w:rsidP="005F6900">
      <w:pPr>
        <w:tabs>
          <w:tab w:val="left" w:pos="3708"/>
        </w:tabs>
        <w:jc w:val="both"/>
      </w:pPr>
    </w:p>
    <w:p w14:paraId="3B77B105" w14:textId="77777777" w:rsidR="005F6900" w:rsidRPr="005B0548" w:rsidRDefault="005F6900" w:rsidP="005F6900">
      <w:pPr>
        <w:tabs>
          <w:tab w:val="left" w:pos="3708"/>
        </w:tabs>
        <w:jc w:val="both"/>
      </w:pPr>
      <w:r w:rsidRPr="005B0548">
        <w:t xml:space="preserve">Дугорочни приходи и тржишне прилике: Зелено финансирање је углавном усмерено на дугорочне инвестиције, обезбеђујући стабилне приходе за финансијске институције. Поред тога, растућа потражња за одрживим пројектима отвара нове тржишне прилике и омогућава банкама да се позиционирају као лидери у области одрживог финансирања. </w:t>
      </w:r>
    </w:p>
    <w:p w14:paraId="79CEE049" w14:textId="77777777" w:rsidR="005F6900" w:rsidRPr="005B0548" w:rsidRDefault="005F6900" w:rsidP="005F6900">
      <w:pPr>
        <w:tabs>
          <w:tab w:val="left" w:pos="3708"/>
        </w:tabs>
        <w:jc w:val="both"/>
      </w:pPr>
    </w:p>
    <w:p w14:paraId="107F37B3" w14:textId="77777777" w:rsidR="005F6900" w:rsidRPr="005B0548" w:rsidRDefault="005F6900" w:rsidP="005F6900">
      <w:pPr>
        <w:tabs>
          <w:tab w:val="left" w:pos="3708"/>
        </w:tabs>
        <w:jc w:val="both"/>
      </w:pPr>
      <w:r w:rsidRPr="005B0548">
        <w:t xml:space="preserve">Допринос одрживом развоју: Кроз подршку пројектима који смањују емисију гасова са ефектом стаклене баште и унапређују енергетску ефикасност, зелено финансирање доприноси глобалним напорима у борби против климатских промена и подстиче одрживи развој. </w:t>
      </w:r>
    </w:p>
    <w:p w14:paraId="7B888625" w14:textId="77777777" w:rsidR="005F6900" w:rsidRPr="005B0548" w:rsidRDefault="005F6900" w:rsidP="005F6900">
      <w:pPr>
        <w:tabs>
          <w:tab w:val="left" w:pos="3708"/>
        </w:tabs>
        <w:jc w:val="both"/>
      </w:pPr>
    </w:p>
    <w:p w14:paraId="3F8F3B84" w14:textId="77777777" w:rsidR="005F6900" w:rsidRPr="005B0548" w:rsidRDefault="005F6900" w:rsidP="005F6900">
      <w:pPr>
        <w:tabs>
          <w:tab w:val="left" w:pos="3708"/>
        </w:tabs>
        <w:jc w:val="both"/>
      </w:pPr>
      <w:r w:rsidRPr="005B0548">
        <w:lastRenderedPageBreak/>
        <w:t>У закључку, зелено финансирање не само да пружа финансијске користи за клијенте и банке, већ и игра кључну улогу у транзицији ка одрживој економији, чинећи га супериорнијим избором у односу на стандардно финансирање.</w:t>
      </w:r>
    </w:p>
    <w:p w14:paraId="7AD2F7B0" w14:textId="77777777" w:rsidR="005F6900" w:rsidRPr="005B0548" w:rsidRDefault="005F6900" w:rsidP="005F6900">
      <w:pPr>
        <w:tabs>
          <w:tab w:val="left" w:pos="3708"/>
        </w:tabs>
        <w:jc w:val="both"/>
        <w:rPr>
          <w:sz w:val="24"/>
          <w:szCs w:val="24"/>
        </w:rPr>
      </w:pPr>
    </w:p>
    <w:p w14:paraId="0A75190C" w14:textId="7B82B1A2" w:rsidR="005F6900" w:rsidRPr="0028626A" w:rsidRDefault="005F6900" w:rsidP="005F6900">
      <w:pPr>
        <w:rPr>
          <w:b/>
          <w:i/>
          <w:iCs/>
        </w:rPr>
      </w:pPr>
      <w:r w:rsidRPr="0028626A">
        <w:rPr>
          <w:b/>
          <w:i/>
          <w:iCs/>
        </w:rPr>
        <w:t>Зелено финансирање у Србији</w:t>
      </w:r>
      <w:r w:rsidRPr="0028626A">
        <w:rPr>
          <w:rStyle w:val="FootnoteReference"/>
          <w:b/>
          <w:i/>
          <w:iCs/>
        </w:rPr>
        <w:footnoteReference w:id="3"/>
      </w:r>
    </w:p>
    <w:p w14:paraId="494E8972" w14:textId="77777777" w:rsidR="005F6900" w:rsidRPr="005B0548" w:rsidRDefault="005F6900" w:rsidP="005F6900">
      <w:pPr>
        <w:spacing w:before="100" w:beforeAutospacing="1" w:after="100" w:afterAutospacing="1"/>
        <w:jc w:val="both"/>
        <w:rPr>
          <w:rFonts w:cs="Calibri"/>
        </w:rPr>
      </w:pPr>
      <w:r w:rsidRPr="005B0548">
        <w:rPr>
          <w:rFonts w:cs="Calibri"/>
        </w:rPr>
        <w:t>Зелено финансирање у Србији појавило се пре око десет година, али још увек није постало широко распрострањена пракса. Очекује се да ће у блиској будућности све већи број банака у Србији препознати пословни потенцијал зеленог финансирања и активније се укључити у ову област. Како Србија напредује у преговорима са Европском унијом, све већи значај добиће Поглавље 27, које се односи на заштиту животне средине. Прилагођавање законодавства и увођење нових прописа биће дуготрајан процес, који ће захтевати значајна финансијска улагања.</w:t>
      </w:r>
    </w:p>
    <w:p w14:paraId="64FBBB12" w14:textId="77777777" w:rsidR="005F6900" w:rsidRPr="005B0548" w:rsidRDefault="005F6900" w:rsidP="005F6900">
      <w:pPr>
        <w:spacing w:before="100" w:beforeAutospacing="1" w:after="100" w:afterAutospacing="1"/>
        <w:jc w:val="both"/>
        <w:rPr>
          <w:rFonts w:cs="Calibri"/>
        </w:rPr>
      </w:pPr>
      <w:r w:rsidRPr="005B0548">
        <w:rPr>
          <w:rFonts w:cs="Calibri"/>
        </w:rPr>
        <w:t xml:space="preserve">Зелено финансирање у Србији бележи значајан раст, подстакнуто иницијативама међународних финансијских институција и подршком Европске уније. Програми попут  GEFF Србије, који спроводи Европска банка за обнову и развој (EBRD), пружају финансијску и техничку помоћ домаћинствима и предузећима за улагања у енергетски ефикасне технологије. </w:t>
      </w:r>
    </w:p>
    <w:p w14:paraId="28448785" w14:textId="77777777" w:rsidR="005F6900" w:rsidRPr="005B0548" w:rsidRDefault="005F6900" w:rsidP="005F6900">
      <w:pPr>
        <w:spacing w:before="100" w:beforeAutospacing="1" w:after="100" w:afterAutospacing="1"/>
        <w:jc w:val="both"/>
        <w:rPr>
          <w:rFonts w:cs="Calibri"/>
        </w:rPr>
      </w:pPr>
      <w:r w:rsidRPr="005B0548">
        <w:rPr>
          <w:rFonts w:cs="Calibri"/>
        </w:rPr>
        <w:t xml:space="preserve">Европска унија је, кроз различите програме, определила значајна средства за подршку малим и средњим предузећима (МСП) у Србији. Програм SME </w:t>
      </w:r>
      <w:proofErr w:type="spellStart"/>
      <w:r w:rsidRPr="005B0548">
        <w:rPr>
          <w:rFonts w:cs="Calibri"/>
        </w:rPr>
        <w:t>Go</w:t>
      </w:r>
      <w:proofErr w:type="spellEnd"/>
      <w:r w:rsidRPr="005B0548">
        <w:rPr>
          <w:rFonts w:cs="Calibri"/>
        </w:rPr>
        <w:t xml:space="preserve"> </w:t>
      </w:r>
      <w:proofErr w:type="spellStart"/>
      <w:r w:rsidRPr="005B0548">
        <w:rPr>
          <w:rFonts w:cs="Calibri"/>
        </w:rPr>
        <w:t>Green</w:t>
      </w:r>
      <w:proofErr w:type="spellEnd"/>
      <w:r w:rsidRPr="005B0548">
        <w:rPr>
          <w:rFonts w:cs="Calibri"/>
        </w:rPr>
        <w:t xml:space="preserve">, покренут у сарадњи са EBRD-ом, има за циљ да помогне МСП-овима у сектору агробизниса да смање утицај на животну средину и постану одрживији. </w:t>
      </w:r>
    </w:p>
    <w:p w14:paraId="680FB4F5" w14:textId="77777777" w:rsidR="005F6900" w:rsidRPr="005B0548" w:rsidRDefault="005F6900" w:rsidP="005F6900">
      <w:pPr>
        <w:spacing w:before="100" w:beforeAutospacing="1" w:after="100" w:afterAutospacing="1"/>
        <w:jc w:val="both"/>
        <w:rPr>
          <w:rFonts w:cs="Calibri"/>
        </w:rPr>
      </w:pPr>
      <w:r w:rsidRPr="005B0548">
        <w:rPr>
          <w:rFonts w:cs="Calibri"/>
        </w:rPr>
        <w:t xml:space="preserve">Такође, </w:t>
      </w:r>
      <w:proofErr w:type="spellStart"/>
      <w:r w:rsidRPr="005B0548">
        <w:rPr>
          <w:rFonts w:cs="Calibri"/>
        </w:rPr>
        <w:t>Green</w:t>
      </w:r>
      <w:proofErr w:type="spellEnd"/>
      <w:r w:rsidRPr="005B0548">
        <w:rPr>
          <w:rFonts w:cs="Calibri"/>
        </w:rPr>
        <w:t xml:space="preserve"> </w:t>
      </w:r>
      <w:proofErr w:type="spellStart"/>
      <w:r w:rsidRPr="005B0548">
        <w:rPr>
          <w:rFonts w:cs="Calibri"/>
        </w:rPr>
        <w:t>for</w:t>
      </w:r>
      <w:proofErr w:type="spellEnd"/>
      <w:r w:rsidRPr="005B0548">
        <w:rPr>
          <w:rFonts w:cs="Calibri"/>
        </w:rPr>
        <w:t xml:space="preserve"> </w:t>
      </w:r>
      <w:proofErr w:type="spellStart"/>
      <w:r w:rsidRPr="005B0548">
        <w:rPr>
          <w:rFonts w:cs="Calibri"/>
        </w:rPr>
        <w:t>Growth</w:t>
      </w:r>
      <w:proofErr w:type="spellEnd"/>
      <w:r w:rsidRPr="005B0548">
        <w:rPr>
          <w:rFonts w:cs="Calibri"/>
        </w:rPr>
        <w:t xml:space="preserve"> </w:t>
      </w:r>
      <w:proofErr w:type="spellStart"/>
      <w:r w:rsidRPr="005B0548">
        <w:rPr>
          <w:rFonts w:cs="Calibri"/>
        </w:rPr>
        <w:t>Fund</w:t>
      </w:r>
      <w:proofErr w:type="spellEnd"/>
      <w:r w:rsidRPr="005B0548">
        <w:rPr>
          <w:rFonts w:cs="Calibri"/>
        </w:rPr>
        <w:t xml:space="preserve"> (GGF)  је одобрио зајам од 40 милиона евра АИК банци за наменско зелено финансирање предузећа која улажу у одрживе праксе и пројекте обновљивих извора енергије. Овај зајам првенствено подржава експанзију обновљивих извора енергије, доприносећи </w:t>
      </w:r>
      <w:proofErr w:type="spellStart"/>
      <w:r w:rsidRPr="005B0548">
        <w:rPr>
          <w:rFonts w:cs="Calibri"/>
        </w:rPr>
        <w:t>декарбонизацији</w:t>
      </w:r>
      <w:proofErr w:type="spellEnd"/>
      <w:r w:rsidRPr="005B0548">
        <w:rPr>
          <w:rFonts w:cs="Calibri"/>
        </w:rPr>
        <w:t xml:space="preserve"> привреде Србије. </w:t>
      </w:r>
    </w:p>
    <w:p w14:paraId="3D9E0B52" w14:textId="77777777" w:rsidR="005F6900" w:rsidRPr="005B0548" w:rsidRDefault="005F6900" w:rsidP="005F6900">
      <w:pPr>
        <w:spacing w:before="100" w:beforeAutospacing="1" w:after="100" w:afterAutospacing="1"/>
        <w:jc w:val="both"/>
        <w:rPr>
          <w:rFonts w:cs="Calibri"/>
        </w:rPr>
      </w:pPr>
      <w:r w:rsidRPr="005B0548">
        <w:rPr>
          <w:rFonts w:cs="Calibri"/>
        </w:rPr>
        <w:t xml:space="preserve">Поред ових иницијатива, УНДП у Србији активно ради на унапређењу координације између финансијског и пословног сектора у процесу зелене транзиције. Кроз различите пројекте, УНДП пружа подршку иновативним идејама и обезбеђује почетна средства за њихову реализацију, уз финансијску подршку Европске уније и Владе Швајцарске. </w:t>
      </w:r>
    </w:p>
    <w:p w14:paraId="73252D57" w14:textId="77777777" w:rsidR="005F6900" w:rsidRDefault="005F6900" w:rsidP="005F6900">
      <w:pPr>
        <w:spacing w:before="100" w:beforeAutospacing="1" w:after="100" w:afterAutospacing="1"/>
        <w:jc w:val="both"/>
        <w:rPr>
          <w:rFonts w:cs="Calibri"/>
        </w:rPr>
      </w:pPr>
      <w:r w:rsidRPr="005B0548">
        <w:rPr>
          <w:rFonts w:cs="Calibri"/>
        </w:rPr>
        <w:t>Упркос овим напорима, зелено финансирање у Србији још увек није достигло пуни потенцијал. Недостатак информација и свести о доступним финансијским инструментима представља изазов за многе компаније и домаћинства. Даљи развој регулаторног оквира и повећање доступности финансијских средстава кључни су за убрзање зелене транзиције у Србији.</w:t>
      </w:r>
      <w:bookmarkStart w:id="7" w:name="_Hlk191540212"/>
    </w:p>
    <w:p w14:paraId="0D6DA254" w14:textId="77777777" w:rsidR="0028626A" w:rsidRDefault="0028626A" w:rsidP="005F6900">
      <w:pPr>
        <w:spacing w:before="100" w:beforeAutospacing="1" w:after="100" w:afterAutospacing="1"/>
        <w:jc w:val="both"/>
        <w:rPr>
          <w:rFonts w:cs="Calibri"/>
        </w:rPr>
      </w:pPr>
    </w:p>
    <w:p w14:paraId="0D905CD4" w14:textId="77777777" w:rsidR="0028626A" w:rsidRDefault="0028626A" w:rsidP="005F6900">
      <w:pPr>
        <w:spacing w:before="100" w:beforeAutospacing="1" w:after="100" w:afterAutospacing="1"/>
        <w:jc w:val="both"/>
        <w:rPr>
          <w:rFonts w:cs="Calibri"/>
        </w:rPr>
      </w:pPr>
    </w:p>
    <w:p w14:paraId="7B8449D7" w14:textId="77777777" w:rsidR="0028626A" w:rsidRDefault="0028626A" w:rsidP="005F6900">
      <w:pPr>
        <w:spacing w:before="100" w:beforeAutospacing="1" w:after="100" w:afterAutospacing="1"/>
        <w:jc w:val="both"/>
        <w:rPr>
          <w:rFonts w:cs="Calibri"/>
        </w:rPr>
      </w:pPr>
    </w:p>
    <w:p w14:paraId="744959AA" w14:textId="77777777" w:rsidR="005F6900" w:rsidRPr="00E524F9" w:rsidRDefault="005F6900" w:rsidP="005F6900">
      <w:pPr>
        <w:pStyle w:val="Heading1"/>
        <w:spacing w:before="0" w:after="0"/>
        <w:rPr>
          <w:rFonts w:asciiTheme="minorHAnsi" w:hAnsiTheme="minorHAnsi" w:cstheme="minorHAnsi"/>
          <w:b/>
          <w:color w:val="auto"/>
          <w:sz w:val="22"/>
          <w:szCs w:val="22"/>
        </w:rPr>
      </w:pPr>
      <w:bookmarkStart w:id="8" w:name="_Toc195167990"/>
      <w:r w:rsidRPr="00E524F9">
        <w:rPr>
          <w:rFonts w:asciiTheme="minorHAnsi" w:hAnsiTheme="minorHAnsi" w:cstheme="minorHAnsi"/>
          <w:b/>
          <w:color w:val="auto"/>
          <w:sz w:val="22"/>
          <w:szCs w:val="22"/>
        </w:rPr>
        <w:lastRenderedPageBreak/>
        <w:t>3. Озелењавање пословања, принципи и критеријуми  зеленог финансирања</w:t>
      </w:r>
      <w:bookmarkEnd w:id="8"/>
      <w:r w:rsidRPr="00E524F9">
        <w:rPr>
          <w:rFonts w:asciiTheme="minorHAnsi" w:hAnsiTheme="minorHAnsi" w:cstheme="minorHAnsi"/>
          <w:b/>
          <w:color w:val="auto"/>
          <w:sz w:val="22"/>
          <w:szCs w:val="22"/>
        </w:rPr>
        <w:t xml:space="preserve"> </w:t>
      </w:r>
    </w:p>
    <w:p w14:paraId="3D01C0B9" w14:textId="77777777" w:rsidR="005F6900" w:rsidRPr="005B0548" w:rsidRDefault="005F6900" w:rsidP="005F6900">
      <w:pPr>
        <w:jc w:val="both"/>
      </w:pPr>
    </w:p>
    <w:p w14:paraId="074B5DB1" w14:textId="77777777" w:rsidR="005F6900" w:rsidRPr="005B0548" w:rsidRDefault="005F6900" w:rsidP="005F6900">
      <w:pPr>
        <w:jc w:val="both"/>
      </w:pPr>
      <w:r w:rsidRPr="005B0548">
        <w:t xml:space="preserve">Уопштено гледано зелено предузетништво и зелена економија представљају кључне компоненте за одрживи развој и заштиту животне средине. Зелена економија, као економски модел, ставља нагласак на смањење негативног утицаја људских активности на природу, док зелено предузетништво подстиче предузетнике да развијају иновативне, еколошки одговорне производе и услуге.  </w:t>
      </w:r>
    </w:p>
    <w:p w14:paraId="7155F2AA" w14:textId="77777777" w:rsidR="005F6900" w:rsidRPr="005B0548" w:rsidRDefault="005F6900" w:rsidP="005F6900">
      <w:pPr>
        <w:jc w:val="both"/>
      </w:pPr>
    </w:p>
    <w:p w14:paraId="2ABFB7B4" w14:textId="63793051" w:rsidR="005F6900" w:rsidRPr="005B0548" w:rsidRDefault="005F6900" w:rsidP="005F6900">
      <w:pPr>
        <w:jc w:val="both"/>
      </w:pPr>
      <w:r w:rsidRPr="005B0548">
        <w:t>Бенефити за ширу заједницу од “озелењавања” пословања се огледају у дефиницијама зеленог пословања “То је економија која доприноси општем добру и друштвеној једнакости док истовремено знатно смањује ризике по животну средину и даље искоришћавање природних ресурса.” (</w:t>
      </w:r>
      <w:proofErr w:type="spellStart"/>
      <w:r w:rsidRPr="005B0548">
        <w:t>United</w:t>
      </w:r>
      <w:proofErr w:type="spellEnd"/>
      <w:r w:rsidRPr="005B0548">
        <w:t xml:space="preserve"> </w:t>
      </w:r>
      <w:proofErr w:type="spellStart"/>
      <w:r w:rsidRPr="005B0548">
        <w:t>Nations</w:t>
      </w:r>
      <w:proofErr w:type="spellEnd"/>
      <w:r w:rsidRPr="005B0548">
        <w:t xml:space="preserve"> </w:t>
      </w:r>
      <w:proofErr w:type="spellStart"/>
      <w:r w:rsidRPr="005B0548">
        <w:t>Evnironment</w:t>
      </w:r>
      <w:proofErr w:type="spellEnd"/>
      <w:r w:rsidRPr="005B0548">
        <w:t xml:space="preserve"> Programme – UNEP). “Економија која је отпорна и кадра да створи бољи квалитет живота за све унутар еколошких граница планете.” (</w:t>
      </w:r>
      <w:proofErr w:type="spellStart"/>
      <w:r w:rsidRPr="005B0548">
        <w:t>Green</w:t>
      </w:r>
      <w:proofErr w:type="spellEnd"/>
      <w:r w:rsidRPr="005B0548">
        <w:t xml:space="preserve"> </w:t>
      </w:r>
      <w:proofErr w:type="spellStart"/>
      <w:r w:rsidRPr="005B0548">
        <w:t>Economy</w:t>
      </w:r>
      <w:proofErr w:type="spellEnd"/>
      <w:r w:rsidRPr="005B0548">
        <w:t xml:space="preserve"> </w:t>
      </w:r>
      <w:proofErr w:type="spellStart"/>
      <w:r w:rsidRPr="005B0548">
        <w:t>Coalition</w:t>
      </w:r>
      <w:proofErr w:type="spellEnd"/>
      <w:r w:rsidRPr="005B0548">
        <w:t>).</w:t>
      </w:r>
    </w:p>
    <w:p w14:paraId="17F745C4" w14:textId="77777777" w:rsidR="005F6900" w:rsidRPr="005B0548" w:rsidRDefault="005F6900" w:rsidP="005F6900">
      <w:pPr>
        <w:jc w:val="both"/>
      </w:pPr>
    </w:p>
    <w:p w14:paraId="043C2DB9" w14:textId="33BD4C83" w:rsidR="005F6900" w:rsidRPr="005B0548" w:rsidRDefault="005F6900" w:rsidP="005F6900">
      <w:pPr>
        <w:jc w:val="both"/>
      </w:pPr>
      <w:r w:rsidRPr="005B0548">
        <w:t xml:space="preserve">Чињеница је да успешне компаније препознају значај улагања својих ресурса у заштиту животне средине (између осталог, због тога се и препознају као успешне), јер не само да желе да одговоре својим законским обавезама, већ и нису спремне да својим неодговорним поступањем угрозе корпоративни имиџ, репутацију, а тиме и своје пословање. Све више компанија своју стратегију пословања заснивају на смањењу количине уграђеног материјала у производе, </w:t>
      </w:r>
      <w:r w:rsidR="0028626A" w:rsidRPr="005B0548">
        <w:t>смањењу</w:t>
      </w:r>
      <w:r w:rsidR="0028626A" w:rsidRPr="005B0548">
        <w:t xml:space="preserve"> </w:t>
      </w:r>
      <w:r w:rsidRPr="005B0548">
        <w:t>потрошње енергије и сировина у производњи, пројектовању производа са дужим веком трајања и погодним за поправку или рециклажу.</w:t>
      </w:r>
    </w:p>
    <w:p w14:paraId="13B2CA8E" w14:textId="77777777" w:rsidR="005F6900" w:rsidRPr="005B0548" w:rsidRDefault="005F6900" w:rsidP="005F6900">
      <w:pPr>
        <w:jc w:val="both"/>
      </w:pPr>
    </w:p>
    <w:p w14:paraId="4D1173D7" w14:textId="77777777" w:rsidR="005F6900" w:rsidRPr="005B0548" w:rsidRDefault="005F6900" w:rsidP="005F6900">
      <w:pPr>
        <w:jc w:val="both"/>
      </w:pPr>
      <w:r w:rsidRPr="005B0548">
        <w:t>Бенефити озелењавања са становишта  малих и средњих предузећа (МСП) се могу сагледати кроз различите аспекте:</w:t>
      </w:r>
    </w:p>
    <w:p w14:paraId="3195D92C" w14:textId="77777777" w:rsidR="005F6900" w:rsidRPr="005B0548" w:rsidRDefault="005F6900" w:rsidP="005F6900">
      <w:pPr>
        <w:jc w:val="both"/>
      </w:pPr>
    </w:p>
    <w:p w14:paraId="5CB92D32" w14:textId="77777777" w:rsidR="005F6900" w:rsidRPr="005B0548" w:rsidRDefault="005F6900" w:rsidP="005F6900">
      <w:pPr>
        <w:pStyle w:val="ListParagraph"/>
        <w:numPr>
          <w:ilvl w:val="0"/>
          <w:numId w:val="1"/>
        </w:numPr>
        <w:jc w:val="both"/>
      </w:pPr>
      <w:r w:rsidRPr="005B0548">
        <w:rPr>
          <w:b/>
        </w:rPr>
        <w:t>Финансијски бенефити:</w:t>
      </w:r>
      <w:r w:rsidRPr="005B0548">
        <w:t xml:space="preserve"> Предузетници могу остварити значајне уштеде кроз смањене трошкове енергије, материјала и ресурса. Такође, постоје бројне субвенције и повољнији кредити специјализовани за зелене иницијативе, који омогућавају повољније финансирање улагања у енергетску ефикасност, обновљиве изворе енергије и еколошке технологије. Ове финансијске олакшице могу значајно побољшати дугорочну профитабилност.</w:t>
      </w:r>
    </w:p>
    <w:p w14:paraId="4707CA8E" w14:textId="77777777" w:rsidR="005F6900" w:rsidRPr="005B0548" w:rsidRDefault="005F6900" w:rsidP="005F6900">
      <w:pPr>
        <w:jc w:val="both"/>
      </w:pPr>
    </w:p>
    <w:p w14:paraId="10F278F0" w14:textId="77777777" w:rsidR="005F6900" w:rsidRPr="005B0548" w:rsidRDefault="005F6900" w:rsidP="005F6900">
      <w:pPr>
        <w:pStyle w:val="ListParagraph"/>
        <w:numPr>
          <w:ilvl w:val="0"/>
          <w:numId w:val="1"/>
        </w:numPr>
        <w:jc w:val="both"/>
      </w:pPr>
      <w:r w:rsidRPr="005B0548">
        <w:rPr>
          <w:b/>
        </w:rPr>
        <w:t>Оперативни бенефити:</w:t>
      </w:r>
      <w:r w:rsidRPr="005B0548">
        <w:t xml:space="preserve"> Имплементација зелених пракси доводи до веће ефикасности у пословању. Оптимизација потрошње ресурса као што су енергија, вода и сировине не само да смањује трошкове, већ и смањује количину отпада и загађења. Ове промене могу допринети већој продуктивности и бољој организацији пословних процеса, што позитивно утиче на целокупну оперативну ефикасност.</w:t>
      </w:r>
    </w:p>
    <w:p w14:paraId="41165060" w14:textId="77777777" w:rsidR="005F6900" w:rsidRPr="005B0548" w:rsidRDefault="005F6900" w:rsidP="005F6900">
      <w:pPr>
        <w:jc w:val="both"/>
      </w:pPr>
    </w:p>
    <w:p w14:paraId="10164DC4" w14:textId="77777777" w:rsidR="005F6900" w:rsidRPr="005B0548" w:rsidRDefault="005F6900" w:rsidP="005F6900">
      <w:pPr>
        <w:pStyle w:val="ListParagraph"/>
        <w:numPr>
          <w:ilvl w:val="0"/>
          <w:numId w:val="1"/>
        </w:numPr>
        <w:jc w:val="both"/>
      </w:pPr>
      <w:proofErr w:type="spellStart"/>
      <w:r w:rsidRPr="005B0548">
        <w:rPr>
          <w:b/>
        </w:rPr>
        <w:t>Репутациони</w:t>
      </w:r>
      <w:proofErr w:type="spellEnd"/>
      <w:r w:rsidRPr="005B0548">
        <w:rPr>
          <w:b/>
        </w:rPr>
        <w:t xml:space="preserve"> бенефити:</w:t>
      </w:r>
      <w:r w:rsidRPr="005B0548">
        <w:t xml:space="preserve"> Озелењавање пословања побољшава имиџ предузећа, што може довести до веће препознатљивости на тржишту. Зелени приступ пословању повећава поверење потрошача и јача лојалност постојећих купаца, док истовремено привлачи нове, који вреднују одговоран и одржив приступ. Компаније које се истичу еколошким праксама често добијају боље оцене у очима јавности, што може унапредити њихов бренд и конкурентност.</w:t>
      </w:r>
    </w:p>
    <w:p w14:paraId="42B21858" w14:textId="77777777" w:rsidR="005F6900" w:rsidRPr="005B0548" w:rsidRDefault="005F6900" w:rsidP="005F6900">
      <w:pPr>
        <w:jc w:val="both"/>
      </w:pPr>
    </w:p>
    <w:p w14:paraId="455CAE07" w14:textId="58BE389D" w:rsidR="005F6900" w:rsidRPr="005B0548" w:rsidRDefault="005F6900" w:rsidP="005F6900">
      <w:pPr>
        <w:pStyle w:val="ListParagraph"/>
        <w:numPr>
          <w:ilvl w:val="0"/>
          <w:numId w:val="1"/>
        </w:numPr>
        <w:jc w:val="both"/>
      </w:pPr>
      <w:r w:rsidRPr="005B0548">
        <w:rPr>
          <w:b/>
        </w:rPr>
        <w:t>Регулаторни</w:t>
      </w:r>
      <w:r w:rsidR="0028626A">
        <w:rPr>
          <w:b/>
        </w:rPr>
        <w:t xml:space="preserve"> </w:t>
      </w:r>
      <w:r w:rsidRPr="005B0548">
        <w:rPr>
          <w:b/>
        </w:rPr>
        <w:t>бенефити:</w:t>
      </w:r>
      <w:r w:rsidRPr="005B0548">
        <w:t xml:space="preserve"> Усмеравање пословања ка одрживим праксама омогућава лакшу усклађеност са законодавством, нарочито у области заштите животне средине. МСПП која имплементирају зелене праксе често имају бољи приступ јавним набавкама, јер све више тендера захтева усклађеност са еколошким стандардима. Ова усклађеност смањује ризик од законских проблема и може отворити врата новим пословним приликама.</w:t>
      </w:r>
      <w:bookmarkEnd w:id="7"/>
    </w:p>
    <w:p w14:paraId="0F8D1604" w14:textId="77777777" w:rsidR="005F6900" w:rsidRPr="005B0548" w:rsidRDefault="005F6900" w:rsidP="005F6900">
      <w:pPr>
        <w:pStyle w:val="ListParagraph"/>
      </w:pPr>
    </w:p>
    <w:p w14:paraId="32925844" w14:textId="77777777" w:rsidR="005F6900" w:rsidRPr="005B0548" w:rsidRDefault="005F6900" w:rsidP="005F6900">
      <w:pPr>
        <w:jc w:val="both"/>
      </w:pPr>
    </w:p>
    <w:p w14:paraId="3351071D" w14:textId="77777777" w:rsidR="005F6900" w:rsidRPr="005B0548" w:rsidRDefault="005F6900" w:rsidP="005F6900">
      <w:pPr>
        <w:jc w:val="both"/>
      </w:pPr>
    </w:p>
    <w:p w14:paraId="468AB847" w14:textId="77777777" w:rsidR="005F6900" w:rsidRPr="005B0548" w:rsidRDefault="005F6900" w:rsidP="005F6900">
      <w:pPr>
        <w:jc w:val="both"/>
      </w:pPr>
    </w:p>
    <w:p w14:paraId="52CC6657" w14:textId="77777777" w:rsidR="005F6900" w:rsidRPr="005B0548" w:rsidRDefault="005F6900" w:rsidP="005F6900">
      <w:pPr>
        <w:jc w:val="both"/>
      </w:pPr>
    </w:p>
    <w:p w14:paraId="067EFCB0" w14:textId="77777777" w:rsidR="005F6900" w:rsidRPr="005B0548" w:rsidRDefault="005F6900" w:rsidP="005F6900">
      <w:pPr>
        <w:jc w:val="both"/>
      </w:pPr>
    </w:p>
    <w:p w14:paraId="50B0A0B0" w14:textId="77777777" w:rsidR="005F6900" w:rsidRPr="0028626A" w:rsidRDefault="005F6900" w:rsidP="005F6900">
      <w:pPr>
        <w:spacing w:before="100" w:beforeAutospacing="1" w:after="100" w:afterAutospacing="1"/>
        <w:outlineLvl w:val="2"/>
        <w:rPr>
          <w:rFonts w:cs="Calibri"/>
          <w:lang w:eastAsia="en-GB"/>
        </w:rPr>
      </w:pPr>
      <w:bookmarkStart w:id="9" w:name="_Toc195167991"/>
      <w:r w:rsidRPr="0028626A">
        <w:rPr>
          <w:rFonts w:asciiTheme="minorHAnsi" w:hAnsiTheme="minorHAnsi"/>
        </w:rPr>
        <w:lastRenderedPageBreak/>
        <w:t xml:space="preserve">3.1. </w:t>
      </w:r>
      <w:r w:rsidRPr="0028626A">
        <w:rPr>
          <w:rFonts w:cs="Calibri"/>
          <w:lang w:eastAsia="en-GB"/>
        </w:rPr>
        <w:t>Принципи и критеријуми зеленог финансирања</w:t>
      </w:r>
      <w:bookmarkEnd w:id="9"/>
      <w:r w:rsidRPr="0028626A">
        <w:rPr>
          <w:rFonts w:cs="Calibri"/>
          <w:lang w:eastAsia="en-GB"/>
        </w:rPr>
        <w:t xml:space="preserve"> </w:t>
      </w:r>
    </w:p>
    <w:p w14:paraId="231154FC" w14:textId="77777777" w:rsidR="005F6900" w:rsidRPr="005B0548" w:rsidRDefault="005F6900" w:rsidP="005F6900">
      <w:pPr>
        <w:spacing w:before="100" w:beforeAutospacing="1" w:after="100" w:afterAutospacing="1"/>
        <w:rPr>
          <w:rFonts w:cs="Calibri"/>
          <w:lang w:eastAsia="en-GB"/>
        </w:rPr>
      </w:pPr>
      <w:r w:rsidRPr="005B0548">
        <w:rPr>
          <w:rFonts w:cs="Calibri"/>
          <w:lang w:eastAsia="en-GB"/>
        </w:rPr>
        <w:t>Зелено финансирање се ослања на различите принципе и критеријуме који омогућавају да се одреде инвестиције и пројекти који имају позитиван утицај на животну средину и друштво у целини. Циљ је подржати одрживе активности које доприносе смањењу негативног утицаја на планету и побољшању друштвених услова.</w:t>
      </w:r>
    </w:p>
    <w:p w14:paraId="6AF6013D" w14:textId="148EB2CF" w:rsidR="005F6900" w:rsidRPr="0028626A" w:rsidRDefault="005F6900" w:rsidP="0028626A">
      <w:pPr>
        <w:rPr>
          <w:b/>
          <w:bCs/>
          <w:i/>
          <w:iCs/>
        </w:rPr>
      </w:pPr>
      <w:r w:rsidRPr="0028626A">
        <w:rPr>
          <w:b/>
          <w:bCs/>
          <w:i/>
          <w:iCs/>
        </w:rPr>
        <w:t>ЕСГ критеријуми (Еколошки, Друштвени и Управљање)</w:t>
      </w:r>
      <w:r w:rsidRPr="0028626A">
        <w:rPr>
          <w:b/>
          <w:bCs/>
          <w:i/>
          <w:iCs/>
          <w:vertAlign w:val="superscript"/>
        </w:rPr>
        <w:footnoteReference w:id="4"/>
      </w:r>
    </w:p>
    <w:p w14:paraId="7A9A7C1D" w14:textId="77777777" w:rsidR="005F6900" w:rsidRPr="005B0548" w:rsidRDefault="005F6900" w:rsidP="005F6900">
      <w:pPr>
        <w:spacing w:before="100" w:beforeAutospacing="1" w:after="100" w:afterAutospacing="1"/>
        <w:jc w:val="both"/>
        <w:rPr>
          <w:rFonts w:cs="Calibri"/>
          <w:lang w:eastAsia="en-GB"/>
        </w:rPr>
      </w:pPr>
      <w:r w:rsidRPr="005B0548">
        <w:rPr>
          <w:rFonts w:cs="Calibri"/>
          <w:b/>
          <w:bCs/>
          <w:lang w:eastAsia="en-GB"/>
        </w:rPr>
        <w:t>ЕСГ</w:t>
      </w:r>
      <w:r w:rsidRPr="005B0548">
        <w:rPr>
          <w:rFonts w:cs="Calibri"/>
          <w:lang w:eastAsia="en-GB"/>
        </w:rPr>
        <w:t xml:space="preserve"> (</w:t>
      </w:r>
      <w:proofErr w:type="spellStart"/>
      <w:r w:rsidRPr="005B0548">
        <w:rPr>
          <w:rFonts w:cs="Calibri"/>
          <w:lang w:eastAsia="en-GB"/>
        </w:rPr>
        <w:t>Environmental</w:t>
      </w:r>
      <w:proofErr w:type="spellEnd"/>
      <w:r w:rsidRPr="005B0548">
        <w:rPr>
          <w:rFonts w:cs="Calibri"/>
          <w:lang w:eastAsia="en-GB"/>
        </w:rPr>
        <w:t xml:space="preserve">, </w:t>
      </w:r>
      <w:proofErr w:type="spellStart"/>
      <w:r w:rsidRPr="005B0548">
        <w:rPr>
          <w:rFonts w:cs="Calibri"/>
          <w:lang w:eastAsia="en-GB"/>
        </w:rPr>
        <w:t>Social</w:t>
      </w:r>
      <w:proofErr w:type="spellEnd"/>
      <w:r w:rsidRPr="005B0548">
        <w:rPr>
          <w:rFonts w:cs="Calibri"/>
          <w:lang w:eastAsia="en-GB"/>
        </w:rPr>
        <w:t xml:space="preserve">, </w:t>
      </w:r>
      <w:proofErr w:type="spellStart"/>
      <w:r w:rsidRPr="005B0548">
        <w:rPr>
          <w:rFonts w:cs="Calibri"/>
          <w:lang w:eastAsia="en-GB"/>
        </w:rPr>
        <w:t>Governance</w:t>
      </w:r>
      <w:proofErr w:type="spellEnd"/>
      <w:r w:rsidRPr="005B0548">
        <w:rPr>
          <w:rFonts w:cs="Calibri"/>
          <w:lang w:eastAsia="en-GB"/>
        </w:rPr>
        <w:t xml:space="preserve">) критеријуми представљају одреднице које се користе за оцену одрживости и друштвене одговорности предузећа. Ови критеријуми помажу инвеститорима да процене како одређене активности и пројекти могу утицати на животну средину, друштво и начин на који су управљани. </w:t>
      </w:r>
    </w:p>
    <w:p w14:paraId="13986796" w14:textId="77777777" w:rsidR="005F6900" w:rsidRPr="005B0548" w:rsidRDefault="005F6900" w:rsidP="005F6900">
      <w:pPr>
        <w:jc w:val="both"/>
        <w:rPr>
          <w:rFonts w:cs="Calibri"/>
          <w:lang w:eastAsia="en-GB"/>
        </w:rPr>
      </w:pPr>
      <w:r w:rsidRPr="005B0548">
        <w:rPr>
          <w:rFonts w:cs="Calibri"/>
          <w:b/>
          <w:bCs/>
          <w:lang w:eastAsia="en-GB"/>
        </w:rPr>
        <w:t>Еколошки критеријум</w:t>
      </w:r>
      <w:r w:rsidRPr="005B0548">
        <w:rPr>
          <w:rFonts w:cs="Calibri"/>
          <w:lang w:eastAsia="en-GB"/>
        </w:rPr>
        <w:t xml:space="preserve">: Пројекат за који се тражи финансирање мора показивати јасан позитиван утицај на животну средину, као што је смањење емисије угљен-диоксида, промоција обновљивих извора енергије, заштита природних ресурса или повећање енергетске ефикасности. Код овог </w:t>
      </w:r>
      <w:proofErr w:type="spellStart"/>
      <w:r w:rsidRPr="005B0548">
        <w:rPr>
          <w:rFonts w:cs="Calibri"/>
          <w:lang w:eastAsia="en-GB"/>
        </w:rPr>
        <w:t>критеријма</w:t>
      </w:r>
      <w:proofErr w:type="spellEnd"/>
      <w:r w:rsidRPr="005B0548">
        <w:rPr>
          <w:rFonts w:cs="Calibri"/>
          <w:lang w:eastAsia="en-GB"/>
        </w:rPr>
        <w:t xml:space="preserve"> фокус је дакле на утицају пројеката на животну средину, као што су употреба обновљивих извора енергије, смањење штетних емисија, заштита биодиверзитета и енергетска ефикасност.</w:t>
      </w:r>
    </w:p>
    <w:p w14:paraId="58CAB37E" w14:textId="77777777" w:rsidR="005F6900" w:rsidRPr="005B0548" w:rsidRDefault="005F6900" w:rsidP="005F6900">
      <w:pPr>
        <w:pStyle w:val="NoSpacing"/>
        <w:rPr>
          <w:b/>
          <w:lang w:eastAsia="en-GB"/>
        </w:rPr>
      </w:pPr>
    </w:p>
    <w:p w14:paraId="7354C5FB" w14:textId="77777777" w:rsidR="005F6900" w:rsidRPr="005B0548" w:rsidRDefault="005F6900" w:rsidP="005F6900">
      <w:pPr>
        <w:pStyle w:val="NoSpacing"/>
        <w:ind w:firstLine="360"/>
        <w:rPr>
          <w:b/>
          <w:lang w:eastAsia="en-GB"/>
        </w:rPr>
      </w:pPr>
      <w:r w:rsidRPr="005B0548">
        <w:rPr>
          <w:b/>
          <w:lang w:eastAsia="en-GB"/>
        </w:rPr>
        <w:t xml:space="preserve">Примери питања за </w:t>
      </w:r>
      <w:proofErr w:type="spellStart"/>
      <w:r w:rsidRPr="005B0548">
        <w:rPr>
          <w:b/>
          <w:lang w:eastAsia="en-GB"/>
        </w:rPr>
        <w:t>самоевалуацију</w:t>
      </w:r>
      <w:proofErr w:type="spellEnd"/>
      <w:r w:rsidRPr="005B0548">
        <w:rPr>
          <w:b/>
          <w:lang w:eastAsia="en-GB"/>
        </w:rPr>
        <w:t xml:space="preserve"> еколошког критеријума пројекта: </w:t>
      </w:r>
    </w:p>
    <w:p w14:paraId="163C2CE4" w14:textId="77777777" w:rsidR="005F6900" w:rsidRPr="005B0548" w:rsidRDefault="005F6900" w:rsidP="005F6900">
      <w:pPr>
        <w:pStyle w:val="NoSpacing"/>
        <w:numPr>
          <w:ilvl w:val="0"/>
          <w:numId w:val="36"/>
        </w:numPr>
        <w:rPr>
          <w:lang w:eastAsia="en-GB"/>
        </w:rPr>
      </w:pPr>
      <w:r w:rsidRPr="005B0548">
        <w:rPr>
          <w:lang w:eastAsia="en-GB"/>
        </w:rPr>
        <w:t>Да ли пратимо и смањујемо потрошњу енергије и воде?</w:t>
      </w:r>
      <w:r w:rsidRPr="005B0548">
        <w:rPr>
          <w:lang w:eastAsia="en-GB"/>
        </w:rPr>
        <w:tab/>
      </w:r>
      <w:r w:rsidRPr="005B0548">
        <w:rPr>
          <w:lang w:eastAsia="en-GB"/>
        </w:rPr>
        <w:tab/>
      </w:r>
    </w:p>
    <w:p w14:paraId="1D92E04D" w14:textId="77777777" w:rsidR="005F6900" w:rsidRPr="005B0548" w:rsidRDefault="005F6900" w:rsidP="005F6900">
      <w:pPr>
        <w:pStyle w:val="NoSpacing"/>
        <w:numPr>
          <w:ilvl w:val="0"/>
          <w:numId w:val="36"/>
        </w:numPr>
        <w:rPr>
          <w:lang w:eastAsia="en-GB"/>
        </w:rPr>
      </w:pPr>
      <w:r w:rsidRPr="005B0548">
        <w:rPr>
          <w:lang w:eastAsia="en-GB"/>
        </w:rPr>
        <w:t>Да ли управљамо отпадом на еколошки начин?</w:t>
      </w:r>
      <w:r w:rsidRPr="005B0548">
        <w:rPr>
          <w:lang w:eastAsia="en-GB"/>
        </w:rPr>
        <w:tab/>
      </w:r>
      <w:r w:rsidRPr="005B0548">
        <w:rPr>
          <w:lang w:eastAsia="en-GB"/>
        </w:rPr>
        <w:tab/>
      </w:r>
    </w:p>
    <w:p w14:paraId="26B3A9AA" w14:textId="77777777" w:rsidR="005F6900" w:rsidRPr="005B0548" w:rsidRDefault="005F6900" w:rsidP="005F6900">
      <w:pPr>
        <w:pStyle w:val="NoSpacing"/>
        <w:numPr>
          <w:ilvl w:val="0"/>
          <w:numId w:val="36"/>
        </w:numPr>
        <w:rPr>
          <w:lang w:eastAsia="en-GB"/>
        </w:rPr>
      </w:pPr>
      <w:r w:rsidRPr="005B0548">
        <w:rPr>
          <w:lang w:eastAsia="en-GB"/>
        </w:rPr>
        <w:t>Имамо ли стратегију за смањење емисија штетних гасова?</w:t>
      </w:r>
    </w:p>
    <w:p w14:paraId="5580A15E" w14:textId="77777777" w:rsidR="005F6900" w:rsidRPr="005B0548" w:rsidRDefault="005F6900" w:rsidP="005F6900">
      <w:pPr>
        <w:pStyle w:val="NoSpacing"/>
        <w:rPr>
          <w:lang w:eastAsia="en-GB"/>
        </w:rPr>
      </w:pPr>
    </w:p>
    <w:p w14:paraId="42BB7F58" w14:textId="77777777" w:rsidR="005F6900" w:rsidRPr="005B0548" w:rsidRDefault="005F6900" w:rsidP="005F6900">
      <w:pPr>
        <w:pStyle w:val="NoSpacing"/>
        <w:ind w:firstLine="349"/>
        <w:rPr>
          <w:b/>
          <w:lang w:eastAsia="en-GB"/>
        </w:rPr>
      </w:pPr>
      <w:r w:rsidRPr="005B0548">
        <w:rPr>
          <w:b/>
          <w:lang w:eastAsia="en-GB"/>
        </w:rPr>
        <w:t>Примери добре праксе:</w:t>
      </w:r>
    </w:p>
    <w:p w14:paraId="2E1137E6" w14:textId="77777777" w:rsidR="005F6900" w:rsidRPr="005B0548" w:rsidRDefault="005F6900" w:rsidP="005F6900">
      <w:pPr>
        <w:pStyle w:val="NoSpacing"/>
        <w:numPr>
          <w:ilvl w:val="0"/>
          <w:numId w:val="39"/>
        </w:numPr>
        <w:ind w:left="709"/>
        <w:rPr>
          <w:lang w:eastAsia="en-GB"/>
        </w:rPr>
      </w:pPr>
      <w:r w:rsidRPr="005B0548">
        <w:rPr>
          <w:lang w:eastAsia="en-GB"/>
        </w:rPr>
        <w:t>Уградња соларних панела.</w:t>
      </w:r>
    </w:p>
    <w:p w14:paraId="659A3FBB" w14:textId="77777777" w:rsidR="005F6900" w:rsidRPr="005B0548" w:rsidRDefault="005F6900" w:rsidP="005F6900">
      <w:pPr>
        <w:pStyle w:val="NoSpacing"/>
        <w:numPr>
          <w:ilvl w:val="0"/>
          <w:numId w:val="39"/>
        </w:numPr>
        <w:ind w:left="709"/>
        <w:rPr>
          <w:lang w:eastAsia="en-GB"/>
        </w:rPr>
      </w:pPr>
      <w:r w:rsidRPr="005B0548">
        <w:rPr>
          <w:lang w:eastAsia="en-GB"/>
        </w:rPr>
        <w:t>Употреба рециклираних или биоразградивих материјала.</w:t>
      </w:r>
    </w:p>
    <w:p w14:paraId="698BC638" w14:textId="77777777" w:rsidR="005F6900" w:rsidRPr="005B0548" w:rsidRDefault="005F6900" w:rsidP="005F6900">
      <w:pPr>
        <w:pStyle w:val="NoSpacing"/>
        <w:numPr>
          <w:ilvl w:val="0"/>
          <w:numId w:val="39"/>
        </w:numPr>
        <w:ind w:left="709"/>
        <w:rPr>
          <w:lang w:eastAsia="en-GB"/>
        </w:rPr>
      </w:pPr>
      <w:r w:rsidRPr="005B0548">
        <w:rPr>
          <w:lang w:eastAsia="en-GB"/>
        </w:rPr>
        <w:t>Смањење потрошње воде у производњи.</w:t>
      </w:r>
    </w:p>
    <w:p w14:paraId="324031A7" w14:textId="77777777" w:rsidR="005F6900" w:rsidRPr="005B0548" w:rsidRDefault="005F6900" w:rsidP="005F6900">
      <w:pPr>
        <w:pStyle w:val="NoSpacing"/>
        <w:ind w:left="1440"/>
        <w:rPr>
          <w:lang w:eastAsia="en-GB"/>
        </w:rPr>
      </w:pPr>
    </w:p>
    <w:p w14:paraId="63BDAF4E" w14:textId="75D3445B" w:rsidR="005F6900" w:rsidRPr="005B0548" w:rsidRDefault="005F6900" w:rsidP="005F6900">
      <w:pPr>
        <w:jc w:val="both"/>
        <w:rPr>
          <w:rFonts w:cs="Calibri"/>
          <w:lang w:eastAsia="en-GB"/>
        </w:rPr>
      </w:pPr>
      <w:r w:rsidRPr="005B0548">
        <w:rPr>
          <w:rFonts w:cs="Calibri"/>
          <w:b/>
          <w:bCs/>
          <w:lang w:eastAsia="en-GB"/>
        </w:rPr>
        <w:t>Друштвени критеријум</w:t>
      </w:r>
      <w:r w:rsidRPr="005B0548">
        <w:rPr>
          <w:rFonts w:cs="Calibri"/>
          <w:lang w:eastAsia="en-GB"/>
        </w:rPr>
        <w:t>: Оцена како пројекат утиче на заједницу, радне услове, људска права и безбедност на раду. Пројекти који побољшавају животне услове, стварају радна места и подстичу равноправност могу добити виши рејтинг.</w:t>
      </w:r>
      <w:r w:rsidR="0028626A">
        <w:rPr>
          <w:rFonts w:cs="Calibri"/>
          <w:lang w:eastAsia="en-GB"/>
        </w:rPr>
        <w:t xml:space="preserve"> </w:t>
      </w:r>
      <w:r w:rsidRPr="005B0548">
        <w:rPr>
          <w:rFonts w:cs="Calibri"/>
          <w:lang w:eastAsia="en-GB"/>
        </w:rPr>
        <w:t>Пројекат дакле  треба да има позитиван утицај на друштво, као што су бољи услови живота за заједницу, стварање одрживих радних места или побољшање јавног здравља.</w:t>
      </w:r>
    </w:p>
    <w:p w14:paraId="7EFB22CB" w14:textId="77777777" w:rsidR="005F6900" w:rsidRPr="005B0548" w:rsidRDefault="005F6900" w:rsidP="005F6900">
      <w:pPr>
        <w:pStyle w:val="NoSpacing"/>
        <w:rPr>
          <w:b/>
          <w:lang w:eastAsia="en-GB"/>
        </w:rPr>
      </w:pPr>
    </w:p>
    <w:p w14:paraId="0372AF53" w14:textId="44F2462D" w:rsidR="005F6900" w:rsidRPr="005B0548" w:rsidRDefault="005F6900" w:rsidP="005F6900">
      <w:pPr>
        <w:pStyle w:val="NoSpacing"/>
        <w:ind w:firstLine="360"/>
        <w:rPr>
          <w:b/>
          <w:lang w:eastAsia="en-GB"/>
        </w:rPr>
      </w:pPr>
      <w:r w:rsidRPr="005B0548">
        <w:rPr>
          <w:b/>
          <w:lang w:eastAsia="en-GB"/>
        </w:rPr>
        <w:t>Примери питања за само</w:t>
      </w:r>
      <w:r w:rsidR="0028626A">
        <w:rPr>
          <w:b/>
          <w:lang w:eastAsia="en-GB"/>
        </w:rPr>
        <w:t>-</w:t>
      </w:r>
      <w:r w:rsidRPr="005B0548">
        <w:rPr>
          <w:b/>
          <w:lang w:eastAsia="en-GB"/>
        </w:rPr>
        <w:t xml:space="preserve">евалуацију друштвеног критеријума пројекта: </w:t>
      </w:r>
    </w:p>
    <w:p w14:paraId="61BCB414" w14:textId="77777777" w:rsidR="005F6900" w:rsidRPr="005B0548" w:rsidRDefault="005F6900" w:rsidP="005F6900">
      <w:pPr>
        <w:pStyle w:val="NoSpacing"/>
        <w:numPr>
          <w:ilvl w:val="0"/>
          <w:numId w:val="37"/>
        </w:numPr>
        <w:rPr>
          <w:lang w:eastAsia="en-GB"/>
        </w:rPr>
      </w:pPr>
      <w:r w:rsidRPr="005B0548">
        <w:rPr>
          <w:lang w:eastAsia="en-GB"/>
        </w:rPr>
        <w:t>Пружамо ли фер услове рада и равноправност?</w:t>
      </w:r>
      <w:r w:rsidRPr="005B0548">
        <w:rPr>
          <w:lang w:eastAsia="en-GB"/>
        </w:rPr>
        <w:tab/>
      </w:r>
      <w:r w:rsidRPr="005B0548">
        <w:rPr>
          <w:lang w:eastAsia="en-GB"/>
        </w:rPr>
        <w:tab/>
      </w:r>
    </w:p>
    <w:p w14:paraId="1F55548F" w14:textId="77777777" w:rsidR="005F6900" w:rsidRPr="005B0548" w:rsidRDefault="005F6900" w:rsidP="005F6900">
      <w:pPr>
        <w:pStyle w:val="NoSpacing"/>
        <w:numPr>
          <w:ilvl w:val="0"/>
          <w:numId w:val="37"/>
        </w:numPr>
        <w:rPr>
          <w:lang w:eastAsia="en-GB"/>
        </w:rPr>
      </w:pPr>
      <w:r w:rsidRPr="005B0548">
        <w:rPr>
          <w:lang w:eastAsia="en-GB"/>
        </w:rPr>
        <w:t>Постоје ли обуке за запослене и механизми повратне информације?</w:t>
      </w:r>
      <w:r w:rsidRPr="005B0548">
        <w:rPr>
          <w:lang w:eastAsia="en-GB"/>
        </w:rPr>
        <w:tab/>
      </w:r>
      <w:r w:rsidRPr="005B0548">
        <w:rPr>
          <w:lang w:eastAsia="en-GB"/>
        </w:rPr>
        <w:tab/>
      </w:r>
    </w:p>
    <w:p w14:paraId="2799BE01" w14:textId="77777777" w:rsidR="005F6900" w:rsidRPr="005B0548" w:rsidRDefault="005F6900" w:rsidP="005F6900">
      <w:pPr>
        <w:pStyle w:val="NoSpacing"/>
        <w:numPr>
          <w:ilvl w:val="0"/>
          <w:numId w:val="37"/>
        </w:numPr>
        <w:rPr>
          <w:lang w:eastAsia="en-GB"/>
        </w:rPr>
      </w:pPr>
      <w:r w:rsidRPr="005B0548">
        <w:rPr>
          <w:lang w:eastAsia="en-GB"/>
        </w:rPr>
        <w:t>Сарађујемо ли са заједницом или локалним партнерима?</w:t>
      </w:r>
    </w:p>
    <w:p w14:paraId="501AEDDA" w14:textId="77777777" w:rsidR="005F6900" w:rsidRPr="005B0548" w:rsidRDefault="005F6900" w:rsidP="005F6900">
      <w:pPr>
        <w:pStyle w:val="NoSpacing"/>
        <w:rPr>
          <w:lang w:eastAsia="en-GB"/>
        </w:rPr>
      </w:pPr>
    </w:p>
    <w:p w14:paraId="34239498" w14:textId="77777777" w:rsidR="005F6900" w:rsidRPr="005B0548" w:rsidRDefault="005F6900" w:rsidP="005F6900">
      <w:pPr>
        <w:pStyle w:val="NoSpacing"/>
        <w:ind w:firstLine="360"/>
        <w:rPr>
          <w:b/>
          <w:lang w:eastAsia="en-GB"/>
        </w:rPr>
      </w:pPr>
      <w:r w:rsidRPr="005B0548">
        <w:rPr>
          <w:b/>
          <w:lang w:eastAsia="en-GB"/>
        </w:rPr>
        <w:t>Примери добре праксе:</w:t>
      </w:r>
    </w:p>
    <w:p w14:paraId="5408613C" w14:textId="77777777" w:rsidR="005F6900" w:rsidRPr="005B0548" w:rsidRDefault="005F6900" w:rsidP="005F6900">
      <w:pPr>
        <w:pStyle w:val="NoSpacing"/>
        <w:numPr>
          <w:ilvl w:val="0"/>
          <w:numId w:val="40"/>
        </w:numPr>
        <w:rPr>
          <w:lang w:eastAsia="en-GB"/>
        </w:rPr>
      </w:pPr>
      <w:r w:rsidRPr="005B0548">
        <w:rPr>
          <w:lang w:eastAsia="en-GB"/>
        </w:rPr>
        <w:t>Омогућавање обука за запослене.</w:t>
      </w:r>
    </w:p>
    <w:p w14:paraId="608728B7" w14:textId="77777777" w:rsidR="005F6900" w:rsidRPr="005B0548" w:rsidRDefault="005F6900" w:rsidP="005F6900">
      <w:pPr>
        <w:pStyle w:val="NoSpacing"/>
        <w:numPr>
          <w:ilvl w:val="0"/>
          <w:numId w:val="40"/>
        </w:numPr>
        <w:rPr>
          <w:lang w:eastAsia="en-GB"/>
        </w:rPr>
      </w:pPr>
      <w:r w:rsidRPr="005B0548">
        <w:rPr>
          <w:lang w:eastAsia="en-GB"/>
        </w:rPr>
        <w:t>Сарадња са локалним добављачима.</w:t>
      </w:r>
    </w:p>
    <w:p w14:paraId="3C31E03A" w14:textId="77777777" w:rsidR="005F6900" w:rsidRPr="005B0548" w:rsidRDefault="005F6900" w:rsidP="005F6900">
      <w:pPr>
        <w:pStyle w:val="NoSpacing"/>
        <w:numPr>
          <w:ilvl w:val="0"/>
          <w:numId w:val="40"/>
        </w:numPr>
        <w:rPr>
          <w:lang w:eastAsia="en-GB"/>
        </w:rPr>
      </w:pPr>
      <w:r w:rsidRPr="005B0548">
        <w:rPr>
          <w:lang w:eastAsia="en-GB"/>
        </w:rPr>
        <w:t>Подршка локалним заједницама кроз донације или волонтерске акције.</w:t>
      </w:r>
    </w:p>
    <w:p w14:paraId="6073F28D" w14:textId="77777777" w:rsidR="005F6900" w:rsidRPr="005B0548" w:rsidRDefault="005F6900" w:rsidP="005F6900">
      <w:pPr>
        <w:spacing w:before="100" w:beforeAutospacing="1" w:after="100" w:afterAutospacing="1"/>
        <w:jc w:val="both"/>
        <w:rPr>
          <w:rFonts w:cs="Calibri"/>
          <w:lang w:eastAsia="en-GB"/>
        </w:rPr>
      </w:pPr>
      <w:r w:rsidRPr="005B0548">
        <w:rPr>
          <w:rFonts w:cs="Calibri"/>
          <w:b/>
          <w:bCs/>
          <w:lang w:eastAsia="en-GB"/>
        </w:rPr>
        <w:lastRenderedPageBreak/>
        <w:t>Управљачки критеријум</w:t>
      </w:r>
      <w:r w:rsidRPr="005B0548">
        <w:rPr>
          <w:rFonts w:cs="Calibri"/>
          <w:lang w:eastAsia="en-GB"/>
        </w:rPr>
        <w:t xml:space="preserve">: Оцена доброг корпоративног управљања, транспарентности и етичких пракси. Добро управљање пројектима је кључно за успешно спровођење зелених иницијатива. То укључује транспарентност, ефикасност у коришћењу ресурса и правовремено извештавање о напредовању пројекта. Пројекти који обезбеђују јасну структуру управљања и усклађеност са међународним стандардима имају боље шансе за добијање </w:t>
      </w:r>
      <w:proofErr w:type="spellStart"/>
      <w:r w:rsidRPr="005B0548">
        <w:rPr>
          <w:rFonts w:cs="Calibri"/>
          <w:lang w:eastAsia="en-GB"/>
        </w:rPr>
        <w:t>зелениих</w:t>
      </w:r>
      <w:proofErr w:type="spellEnd"/>
      <w:r w:rsidRPr="005B0548">
        <w:rPr>
          <w:rFonts w:cs="Calibri"/>
          <w:lang w:eastAsia="en-GB"/>
        </w:rPr>
        <w:t xml:space="preserve"> финансијских подстицаја. </w:t>
      </w:r>
    </w:p>
    <w:p w14:paraId="5B2CF120" w14:textId="1D7B1493" w:rsidR="005F6900" w:rsidRPr="005B0548" w:rsidRDefault="005F6900" w:rsidP="005F6900">
      <w:pPr>
        <w:pStyle w:val="NoSpacing"/>
        <w:ind w:firstLine="360"/>
        <w:rPr>
          <w:b/>
          <w:lang w:eastAsia="en-GB"/>
        </w:rPr>
      </w:pPr>
      <w:r w:rsidRPr="005B0548">
        <w:rPr>
          <w:b/>
          <w:lang w:eastAsia="en-GB"/>
        </w:rPr>
        <w:t>Примери питања за само</w:t>
      </w:r>
      <w:r w:rsidR="0028626A">
        <w:rPr>
          <w:b/>
          <w:lang w:eastAsia="en-GB"/>
        </w:rPr>
        <w:t>-</w:t>
      </w:r>
      <w:r w:rsidRPr="005B0548">
        <w:rPr>
          <w:b/>
          <w:lang w:eastAsia="en-GB"/>
        </w:rPr>
        <w:t xml:space="preserve">евалуацију управљачког критеријума пројекта: </w:t>
      </w:r>
    </w:p>
    <w:p w14:paraId="662B33A9" w14:textId="77777777" w:rsidR="005F6900" w:rsidRPr="005B0548" w:rsidRDefault="005F6900" w:rsidP="005F6900">
      <w:pPr>
        <w:pStyle w:val="NoSpacing"/>
        <w:numPr>
          <w:ilvl w:val="0"/>
          <w:numId w:val="38"/>
        </w:numPr>
        <w:rPr>
          <w:lang w:eastAsia="en-GB"/>
        </w:rPr>
      </w:pPr>
      <w:r w:rsidRPr="005B0548">
        <w:rPr>
          <w:lang w:eastAsia="en-GB"/>
        </w:rPr>
        <w:t>Имамо ли усвојене политике транспарентности и етике?</w:t>
      </w:r>
      <w:r w:rsidRPr="005B0548">
        <w:rPr>
          <w:lang w:eastAsia="en-GB"/>
        </w:rPr>
        <w:tab/>
      </w:r>
      <w:r w:rsidRPr="005B0548">
        <w:rPr>
          <w:lang w:eastAsia="en-GB"/>
        </w:rPr>
        <w:tab/>
      </w:r>
    </w:p>
    <w:p w14:paraId="2269CED6" w14:textId="77777777" w:rsidR="005F6900" w:rsidRPr="005B0548" w:rsidRDefault="005F6900" w:rsidP="005F6900">
      <w:pPr>
        <w:pStyle w:val="NoSpacing"/>
        <w:numPr>
          <w:ilvl w:val="0"/>
          <w:numId w:val="38"/>
        </w:numPr>
        <w:rPr>
          <w:lang w:eastAsia="en-GB"/>
        </w:rPr>
      </w:pPr>
      <w:r w:rsidRPr="005B0548">
        <w:rPr>
          <w:lang w:eastAsia="en-GB"/>
        </w:rPr>
        <w:t>Да ли управљачка структура обезбеђује добру контролу и надзор?</w:t>
      </w:r>
      <w:r w:rsidRPr="005B0548">
        <w:rPr>
          <w:lang w:eastAsia="en-GB"/>
        </w:rPr>
        <w:tab/>
      </w:r>
      <w:r w:rsidRPr="005B0548">
        <w:rPr>
          <w:lang w:eastAsia="en-GB"/>
        </w:rPr>
        <w:tab/>
      </w:r>
    </w:p>
    <w:p w14:paraId="5030A58F" w14:textId="77777777" w:rsidR="005F6900" w:rsidRPr="005B0548" w:rsidRDefault="005F6900" w:rsidP="005F6900">
      <w:pPr>
        <w:pStyle w:val="NoSpacing"/>
        <w:numPr>
          <w:ilvl w:val="0"/>
          <w:numId w:val="38"/>
        </w:numPr>
        <w:rPr>
          <w:lang w:eastAsia="en-GB"/>
        </w:rPr>
      </w:pPr>
      <w:r w:rsidRPr="005B0548">
        <w:rPr>
          <w:lang w:eastAsia="en-GB"/>
        </w:rPr>
        <w:t>Постоје ли интерни механизми за процену ризика и доношење одлука?</w:t>
      </w:r>
    </w:p>
    <w:p w14:paraId="754C332A" w14:textId="77777777" w:rsidR="005F6900" w:rsidRPr="005B0548" w:rsidRDefault="005F6900" w:rsidP="005F6900">
      <w:pPr>
        <w:pStyle w:val="NoSpacing"/>
        <w:rPr>
          <w:lang w:eastAsia="en-GB"/>
        </w:rPr>
      </w:pPr>
    </w:p>
    <w:p w14:paraId="0753D8C2" w14:textId="77777777" w:rsidR="005F6900" w:rsidRPr="005B0548" w:rsidRDefault="005F6900" w:rsidP="005F6900">
      <w:pPr>
        <w:pStyle w:val="NoSpacing"/>
        <w:ind w:firstLine="360"/>
        <w:rPr>
          <w:b/>
        </w:rPr>
      </w:pPr>
      <w:r w:rsidRPr="005B0548">
        <w:rPr>
          <w:b/>
        </w:rPr>
        <w:t>Примери добре праксе:</w:t>
      </w:r>
    </w:p>
    <w:p w14:paraId="36AF3FC0" w14:textId="77777777" w:rsidR="005F6900" w:rsidRPr="005B0548" w:rsidRDefault="005F6900" w:rsidP="005F6900">
      <w:pPr>
        <w:pStyle w:val="NoSpacing"/>
        <w:numPr>
          <w:ilvl w:val="0"/>
          <w:numId w:val="41"/>
        </w:numPr>
      </w:pPr>
      <w:r w:rsidRPr="005B0548">
        <w:t>Редовно објављивање финансијских и одрживих извештаја.</w:t>
      </w:r>
    </w:p>
    <w:p w14:paraId="7C2D8835" w14:textId="77777777" w:rsidR="005F6900" w:rsidRPr="005B0548" w:rsidRDefault="005F6900" w:rsidP="005F6900">
      <w:pPr>
        <w:pStyle w:val="NoSpacing"/>
        <w:numPr>
          <w:ilvl w:val="0"/>
          <w:numId w:val="41"/>
        </w:numPr>
      </w:pPr>
      <w:r w:rsidRPr="005B0548">
        <w:t>Успостављени етички кодекс.</w:t>
      </w:r>
    </w:p>
    <w:p w14:paraId="79CF42D3" w14:textId="77777777" w:rsidR="005F6900" w:rsidRPr="005B0548" w:rsidRDefault="005F6900" w:rsidP="005F6900">
      <w:pPr>
        <w:pStyle w:val="NoSpacing"/>
        <w:numPr>
          <w:ilvl w:val="0"/>
          <w:numId w:val="41"/>
        </w:numPr>
        <w:rPr>
          <w:lang w:eastAsia="en-GB"/>
        </w:rPr>
      </w:pPr>
      <w:r w:rsidRPr="005B0548">
        <w:t>Увођење система управљања ризицима</w:t>
      </w:r>
      <w:r w:rsidRPr="005B0548">
        <w:rPr>
          <w:lang w:eastAsia="en-GB"/>
        </w:rPr>
        <w:t>.</w:t>
      </w:r>
    </w:p>
    <w:p w14:paraId="1F43964F" w14:textId="77777777" w:rsidR="005F6900" w:rsidRPr="005B0548" w:rsidRDefault="005F6900" w:rsidP="005F6900">
      <w:pPr>
        <w:pStyle w:val="NoSpacing"/>
        <w:rPr>
          <w:b/>
          <w:lang w:eastAsia="en-GB"/>
        </w:rPr>
      </w:pPr>
    </w:p>
    <w:p w14:paraId="7EEA1FB3" w14:textId="77777777" w:rsidR="005F6900" w:rsidRPr="0028626A" w:rsidRDefault="005F6900" w:rsidP="005F6900">
      <w:pPr>
        <w:pStyle w:val="NoSpacing"/>
        <w:rPr>
          <w:b/>
          <w:i/>
          <w:iCs/>
          <w:lang w:eastAsia="en-GB"/>
        </w:rPr>
      </w:pPr>
      <w:r w:rsidRPr="0028626A">
        <w:rPr>
          <w:b/>
          <w:i/>
          <w:iCs/>
          <w:lang w:eastAsia="en-GB"/>
        </w:rPr>
        <w:t>Зашто су ЕСГ критеријуми важни за МСП?</w:t>
      </w:r>
    </w:p>
    <w:p w14:paraId="76CF0F68" w14:textId="77777777" w:rsidR="005F6900" w:rsidRPr="005B0548" w:rsidRDefault="005F6900" w:rsidP="005F6900">
      <w:pPr>
        <w:pStyle w:val="NoSpacing"/>
        <w:rPr>
          <w:lang w:eastAsia="en-GB"/>
        </w:rPr>
      </w:pPr>
    </w:p>
    <w:p w14:paraId="008F12E1" w14:textId="77777777" w:rsidR="005F6900" w:rsidRPr="005B0548" w:rsidRDefault="005F6900" w:rsidP="005F6900">
      <w:pPr>
        <w:pStyle w:val="NoSpacing"/>
        <w:numPr>
          <w:ilvl w:val="0"/>
          <w:numId w:val="42"/>
        </w:numPr>
        <w:jc w:val="both"/>
        <w:rPr>
          <w:lang w:eastAsia="en-GB"/>
        </w:rPr>
      </w:pPr>
      <w:r w:rsidRPr="005B0548">
        <w:rPr>
          <w:lang w:eastAsia="en-GB"/>
        </w:rPr>
        <w:t>Повећавају шансе за добијање зеленог финансирања – Фондови, банке и донатори све више траже доказе о друштвеној и еколошкој одговорности.</w:t>
      </w:r>
    </w:p>
    <w:p w14:paraId="0BD3EC3A" w14:textId="77777777" w:rsidR="005F6900" w:rsidRPr="005B0548" w:rsidRDefault="005F6900" w:rsidP="005F6900">
      <w:pPr>
        <w:pStyle w:val="NoSpacing"/>
        <w:numPr>
          <w:ilvl w:val="0"/>
          <w:numId w:val="42"/>
        </w:numPr>
        <w:jc w:val="both"/>
        <w:rPr>
          <w:lang w:eastAsia="en-GB"/>
        </w:rPr>
      </w:pPr>
      <w:r w:rsidRPr="005B0548">
        <w:rPr>
          <w:lang w:eastAsia="en-GB"/>
        </w:rPr>
        <w:t>Јачају имиџ и поверење – Купци и партнери радије сарађују са одговорним предузећима.</w:t>
      </w:r>
    </w:p>
    <w:p w14:paraId="5C1A202C" w14:textId="77777777" w:rsidR="005F6900" w:rsidRPr="005B0548" w:rsidRDefault="005F6900" w:rsidP="005F6900">
      <w:pPr>
        <w:pStyle w:val="NoSpacing"/>
        <w:numPr>
          <w:ilvl w:val="0"/>
          <w:numId w:val="42"/>
        </w:numPr>
        <w:jc w:val="both"/>
        <w:rPr>
          <w:lang w:eastAsia="en-GB"/>
        </w:rPr>
      </w:pPr>
      <w:r w:rsidRPr="005B0548">
        <w:rPr>
          <w:lang w:eastAsia="en-GB"/>
        </w:rPr>
        <w:t>Смањују трошкове и ризике – Енергетска ефикасност, добар менаџмент и задовољни радници директно утичу на продуктивност и профитабилност.</w:t>
      </w:r>
    </w:p>
    <w:p w14:paraId="715118AD" w14:textId="77777777" w:rsidR="005F6900" w:rsidRDefault="005F6900" w:rsidP="005F6900">
      <w:pPr>
        <w:pStyle w:val="NoSpacing"/>
        <w:numPr>
          <w:ilvl w:val="0"/>
          <w:numId w:val="42"/>
        </w:numPr>
        <w:jc w:val="both"/>
        <w:rPr>
          <w:lang w:eastAsia="en-GB"/>
        </w:rPr>
      </w:pPr>
      <w:r w:rsidRPr="005B0548">
        <w:rPr>
          <w:lang w:eastAsia="en-GB"/>
        </w:rPr>
        <w:t xml:space="preserve">Припремају предузеће за будућност – ЕСГ праксе помажу да се предузећа прилагоде све </w:t>
      </w:r>
      <w:proofErr w:type="spellStart"/>
      <w:r w:rsidRPr="005B0548">
        <w:rPr>
          <w:lang w:eastAsia="en-GB"/>
        </w:rPr>
        <w:t>строжијим</w:t>
      </w:r>
      <w:proofErr w:type="spellEnd"/>
      <w:r w:rsidRPr="005B0548">
        <w:rPr>
          <w:lang w:eastAsia="en-GB"/>
        </w:rPr>
        <w:t xml:space="preserve"> прописима и захтевима тржишта.</w:t>
      </w:r>
    </w:p>
    <w:p w14:paraId="07E332BC" w14:textId="77777777" w:rsidR="0028626A" w:rsidRDefault="0028626A" w:rsidP="0028626A">
      <w:pPr>
        <w:pStyle w:val="NoSpacing"/>
        <w:jc w:val="both"/>
        <w:rPr>
          <w:lang w:eastAsia="en-GB"/>
        </w:rPr>
      </w:pPr>
    </w:p>
    <w:p w14:paraId="485DC097" w14:textId="77777777" w:rsidR="0028626A" w:rsidRDefault="0028626A" w:rsidP="0028626A">
      <w:pPr>
        <w:pStyle w:val="NoSpacing"/>
        <w:jc w:val="both"/>
        <w:rPr>
          <w:lang w:eastAsia="en-GB"/>
        </w:rPr>
      </w:pPr>
    </w:p>
    <w:p w14:paraId="1F51CB13" w14:textId="77777777" w:rsidR="0028626A" w:rsidRDefault="0028626A" w:rsidP="0028626A">
      <w:pPr>
        <w:pStyle w:val="NoSpacing"/>
        <w:jc w:val="both"/>
        <w:rPr>
          <w:lang w:eastAsia="en-GB"/>
        </w:rPr>
      </w:pPr>
    </w:p>
    <w:p w14:paraId="644D8250" w14:textId="77777777" w:rsidR="0028626A" w:rsidRDefault="0028626A" w:rsidP="0028626A">
      <w:pPr>
        <w:pStyle w:val="NoSpacing"/>
        <w:jc w:val="both"/>
        <w:rPr>
          <w:lang w:eastAsia="en-GB"/>
        </w:rPr>
      </w:pPr>
    </w:p>
    <w:p w14:paraId="75CA6B4E" w14:textId="77777777" w:rsidR="0028626A" w:rsidRDefault="0028626A" w:rsidP="0028626A">
      <w:pPr>
        <w:pStyle w:val="NoSpacing"/>
        <w:jc w:val="both"/>
        <w:rPr>
          <w:lang w:eastAsia="en-GB"/>
        </w:rPr>
      </w:pPr>
    </w:p>
    <w:p w14:paraId="0ED59F07" w14:textId="77777777" w:rsidR="0028626A" w:rsidRDefault="0028626A" w:rsidP="0028626A">
      <w:pPr>
        <w:pStyle w:val="NoSpacing"/>
        <w:jc w:val="both"/>
        <w:rPr>
          <w:lang w:eastAsia="en-GB"/>
        </w:rPr>
      </w:pPr>
    </w:p>
    <w:p w14:paraId="68BA67A8" w14:textId="77777777" w:rsidR="0028626A" w:rsidRDefault="0028626A" w:rsidP="0028626A">
      <w:pPr>
        <w:pStyle w:val="NoSpacing"/>
        <w:jc w:val="both"/>
        <w:rPr>
          <w:lang w:eastAsia="en-GB"/>
        </w:rPr>
      </w:pPr>
    </w:p>
    <w:p w14:paraId="3572F74C" w14:textId="77777777" w:rsidR="0028626A" w:rsidRDefault="0028626A" w:rsidP="0028626A">
      <w:pPr>
        <w:pStyle w:val="NoSpacing"/>
        <w:jc w:val="both"/>
        <w:rPr>
          <w:lang w:eastAsia="en-GB"/>
        </w:rPr>
      </w:pPr>
    </w:p>
    <w:p w14:paraId="2D1F5F86" w14:textId="77777777" w:rsidR="0028626A" w:rsidRDefault="0028626A" w:rsidP="0028626A">
      <w:pPr>
        <w:pStyle w:val="NoSpacing"/>
        <w:jc w:val="both"/>
        <w:rPr>
          <w:lang w:eastAsia="en-GB"/>
        </w:rPr>
      </w:pPr>
    </w:p>
    <w:p w14:paraId="2693954D" w14:textId="77777777" w:rsidR="0028626A" w:rsidRDefault="0028626A" w:rsidP="0028626A">
      <w:pPr>
        <w:pStyle w:val="NoSpacing"/>
        <w:jc w:val="both"/>
        <w:rPr>
          <w:lang w:eastAsia="en-GB"/>
        </w:rPr>
      </w:pPr>
    </w:p>
    <w:p w14:paraId="04A60296" w14:textId="77777777" w:rsidR="0028626A" w:rsidRDefault="0028626A" w:rsidP="0028626A">
      <w:pPr>
        <w:pStyle w:val="NoSpacing"/>
        <w:jc w:val="both"/>
        <w:rPr>
          <w:lang w:eastAsia="en-GB"/>
        </w:rPr>
      </w:pPr>
    </w:p>
    <w:p w14:paraId="76DF6BFB" w14:textId="77777777" w:rsidR="0028626A" w:rsidRDefault="0028626A" w:rsidP="0028626A">
      <w:pPr>
        <w:pStyle w:val="NoSpacing"/>
        <w:jc w:val="both"/>
        <w:rPr>
          <w:lang w:eastAsia="en-GB"/>
        </w:rPr>
      </w:pPr>
    </w:p>
    <w:p w14:paraId="20B87DC6" w14:textId="77777777" w:rsidR="0028626A" w:rsidRDefault="0028626A" w:rsidP="0028626A">
      <w:pPr>
        <w:pStyle w:val="NoSpacing"/>
        <w:jc w:val="both"/>
        <w:rPr>
          <w:lang w:eastAsia="en-GB"/>
        </w:rPr>
      </w:pPr>
    </w:p>
    <w:p w14:paraId="405740CA" w14:textId="77777777" w:rsidR="0028626A" w:rsidRDefault="0028626A" w:rsidP="0028626A">
      <w:pPr>
        <w:pStyle w:val="NoSpacing"/>
        <w:jc w:val="both"/>
        <w:rPr>
          <w:lang w:eastAsia="en-GB"/>
        </w:rPr>
      </w:pPr>
    </w:p>
    <w:p w14:paraId="219BFD4E" w14:textId="77777777" w:rsidR="0028626A" w:rsidRDefault="0028626A" w:rsidP="0028626A">
      <w:pPr>
        <w:pStyle w:val="NoSpacing"/>
        <w:jc w:val="both"/>
        <w:rPr>
          <w:lang w:eastAsia="en-GB"/>
        </w:rPr>
      </w:pPr>
    </w:p>
    <w:p w14:paraId="05A260F5" w14:textId="77777777" w:rsidR="0028626A" w:rsidRDefault="0028626A" w:rsidP="0028626A">
      <w:pPr>
        <w:pStyle w:val="NoSpacing"/>
        <w:jc w:val="both"/>
        <w:rPr>
          <w:lang w:eastAsia="en-GB"/>
        </w:rPr>
      </w:pPr>
    </w:p>
    <w:p w14:paraId="2219E11B" w14:textId="77777777" w:rsidR="0028626A" w:rsidRDefault="0028626A" w:rsidP="0028626A">
      <w:pPr>
        <w:pStyle w:val="NoSpacing"/>
        <w:jc w:val="both"/>
        <w:rPr>
          <w:lang w:eastAsia="en-GB"/>
        </w:rPr>
      </w:pPr>
    </w:p>
    <w:p w14:paraId="33270EDD" w14:textId="77777777" w:rsidR="0028626A" w:rsidRDefault="0028626A" w:rsidP="0028626A">
      <w:pPr>
        <w:pStyle w:val="NoSpacing"/>
        <w:jc w:val="both"/>
        <w:rPr>
          <w:lang w:eastAsia="en-GB"/>
        </w:rPr>
      </w:pPr>
    </w:p>
    <w:p w14:paraId="159FCA1B" w14:textId="77777777" w:rsidR="0028626A" w:rsidRDefault="0028626A" w:rsidP="0028626A">
      <w:pPr>
        <w:pStyle w:val="NoSpacing"/>
        <w:jc w:val="both"/>
        <w:rPr>
          <w:lang w:eastAsia="en-GB"/>
        </w:rPr>
      </w:pPr>
    </w:p>
    <w:p w14:paraId="5E2A0CC3" w14:textId="77777777" w:rsidR="0028626A" w:rsidRDefault="0028626A" w:rsidP="0028626A">
      <w:pPr>
        <w:pStyle w:val="NoSpacing"/>
        <w:jc w:val="both"/>
        <w:rPr>
          <w:lang w:eastAsia="en-GB"/>
        </w:rPr>
      </w:pPr>
    </w:p>
    <w:p w14:paraId="0532CD4A" w14:textId="77777777" w:rsidR="0028626A" w:rsidRDefault="0028626A" w:rsidP="0028626A">
      <w:pPr>
        <w:pStyle w:val="NoSpacing"/>
        <w:jc w:val="both"/>
        <w:rPr>
          <w:lang w:eastAsia="en-GB"/>
        </w:rPr>
      </w:pPr>
    </w:p>
    <w:p w14:paraId="3E1523A9" w14:textId="77777777" w:rsidR="0028626A" w:rsidRDefault="0028626A" w:rsidP="0028626A">
      <w:pPr>
        <w:pStyle w:val="NoSpacing"/>
        <w:jc w:val="both"/>
        <w:rPr>
          <w:lang w:eastAsia="en-GB"/>
        </w:rPr>
      </w:pPr>
    </w:p>
    <w:p w14:paraId="5AE7DD59" w14:textId="77777777" w:rsidR="0028626A" w:rsidRDefault="0028626A" w:rsidP="0028626A">
      <w:pPr>
        <w:pStyle w:val="NoSpacing"/>
        <w:jc w:val="both"/>
        <w:rPr>
          <w:lang w:eastAsia="en-GB"/>
        </w:rPr>
      </w:pPr>
    </w:p>
    <w:p w14:paraId="6C0BB403" w14:textId="77777777" w:rsidR="0028626A" w:rsidRPr="005B0548" w:rsidRDefault="0028626A" w:rsidP="0028626A">
      <w:pPr>
        <w:pStyle w:val="NoSpacing"/>
        <w:jc w:val="both"/>
        <w:rPr>
          <w:lang w:eastAsia="en-GB"/>
        </w:rPr>
      </w:pPr>
    </w:p>
    <w:p w14:paraId="4F2CA187" w14:textId="119D4392" w:rsidR="005F6900" w:rsidRPr="0028626A" w:rsidRDefault="005F6900" w:rsidP="005F6900">
      <w:pPr>
        <w:spacing w:before="100" w:beforeAutospacing="1" w:after="100" w:afterAutospacing="1"/>
        <w:outlineLvl w:val="2"/>
        <w:rPr>
          <w:rFonts w:cs="Calibri"/>
          <w:lang w:eastAsia="en-GB"/>
        </w:rPr>
      </w:pPr>
      <w:bookmarkStart w:id="10" w:name="_Toc195167992"/>
      <w:r w:rsidRPr="0028626A">
        <w:rPr>
          <w:rFonts w:cs="Calibri"/>
          <w:lang w:eastAsia="en-GB"/>
        </w:rPr>
        <w:lastRenderedPageBreak/>
        <w:t>3.</w:t>
      </w:r>
      <w:r w:rsidR="0028626A" w:rsidRPr="0028626A">
        <w:rPr>
          <w:rFonts w:cs="Calibri"/>
          <w:lang w:eastAsia="en-GB"/>
        </w:rPr>
        <w:t>2</w:t>
      </w:r>
      <w:r w:rsidRPr="0028626A">
        <w:rPr>
          <w:rFonts w:cs="Calibri"/>
          <w:lang w:eastAsia="en-GB"/>
        </w:rPr>
        <w:t>. ЕУ Таксономија и стандарди одрживог финансирања</w:t>
      </w:r>
      <w:r w:rsidRPr="0028626A">
        <w:rPr>
          <w:rStyle w:val="FootnoteReference"/>
          <w:rFonts w:cs="Calibri"/>
          <w:lang w:eastAsia="en-GB"/>
        </w:rPr>
        <w:footnoteReference w:id="5"/>
      </w:r>
      <w:bookmarkEnd w:id="10"/>
    </w:p>
    <w:p w14:paraId="7E3D9B78" w14:textId="77777777" w:rsidR="005F6900" w:rsidRPr="005B0548" w:rsidRDefault="005F6900" w:rsidP="005F6900">
      <w:pPr>
        <w:spacing w:before="100" w:beforeAutospacing="1" w:after="100" w:afterAutospacing="1"/>
        <w:jc w:val="both"/>
        <w:rPr>
          <w:rFonts w:cs="Calibri"/>
          <w:lang w:eastAsia="en-GB"/>
        </w:rPr>
      </w:pPr>
      <w:r w:rsidRPr="005B0548">
        <w:rPr>
          <w:rFonts w:cs="Calibri"/>
          <w:b/>
          <w:bCs/>
          <w:lang w:eastAsia="en-GB"/>
        </w:rPr>
        <w:t>ЕУ Таксономија</w:t>
      </w:r>
      <w:r w:rsidRPr="005B0548">
        <w:rPr>
          <w:rFonts w:cs="Calibri"/>
          <w:lang w:eastAsia="en-GB"/>
        </w:rPr>
        <w:t xml:space="preserve"> представља систем класификације који утврђује које економске активности могу бити сматране "одрживим" с становишта животне средине. Ова таксономија помаже инвеститорима, компанијама и јавним властима да разликују активности које имају стварни позитиван утицај на животну средину и оне које то не имају. </w:t>
      </w:r>
      <w:r w:rsidRPr="005B0548">
        <w:rPr>
          <w:rFonts w:cs="Calibri"/>
          <w:bCs/>
          <w:lang w:eastAsia="en-GB"/>
        </w:rPr>
        <w:t xml:space="preserve">То </w:t>
      </w:r>
      <w:r w:rsidRPr="005B0548">
        <w:rPr>
          <w:rFonts w:cs="Calibri"/>
          <w:lang w:eastAsia="en-GB"/>
        </w:rPr>
        <w:t xml:space="preserve">је званичан систем Европске уније који дефинише шта се сматра „одрживом економском активношћу“. У суштини, то је </w:t>
      </w:r>
      <w:r w:rsidRPr="005B0548">
        <w:rPr>
          <w:rFonts w:cs="Calibri"/>
          <w:bCs/>
          <w:lang w:eastAsia="en-GB"/>
        </w:rPr>
        <w:t>класификациони оквир</w:t>
      </w:r>
      <w:r w:rsidRPr="005B0548">
        <w:rPr>
          <w:rFonts w:cs="Calibri"/>
          <w:lang w:eastAsia="en-GB"/>
        </w:rPr>
        <w:t xml:space="preserve"> који јасно каже: </w:t>
      </w:r>
      <w:r w:rsidRPr="005B0548">
        <w:rPr>
          <w:rFonts w:cs="Calibri"/>
          <w:i/>
          <w:iCs/>
          <w:lang w:eastAsia="en-GB"/>
        </w:rPr>
        <w:t>Која делатност се сматра зеленом, под којим условима и зашто.</w:t>
      </w:r>
      <w:r w:rsidRPr="005B0548">
        <w:rPr>
          <w:rFonts w:cs="Calibri"/>
          <w:lang w:eastAsia="en-GB"/>
        </w:rPr>
        <w:t xml:space="preserve"> ЕУ Таксономија </w:t>
      </w:r>
      <w:proofErr w:type="spellStart"/>
      <w:r w:rsidRPr="005B0548">
        <w:rPr>
          <w:rFonts w:cs="Calibri"/>
          <w:lang w:eastAsia="en-GB"/>
        </w:rPr>
        <w:t>омогћава</w:t>
      </w:r>
      <w:proofErr w:type="spellEnd"/>
      <w:r w:rsidRPr="005B0548">
        <w:rPr>
          <w:rFonts w:cs="Calibri"/>
          <w:lang w:eastAsia="en-GB"/>
        </w:rPr>
        <w:t xml:space="preserve"> да се усагласе критеријуми широм Европе – шта заиста значи "зелено" у пословању.</w:t>
      </w:r>
    </w:p>
    <w:p w14:paraId="62CD7EB5" w14:textId="7A5547A5" w:rsidR="005F6900" w:rsidRPr="005B0548" w:rsidRDefault="005F6900" w:rsidP="0028626A">
      <w:pPr>
        <w:spacing w:before="100" w:beforeAutospacing="1" w:after="100" w:afterAutospacing="1"/>
        <w:jc w:val="both"/>
        <w:rPr>
          <w:rFonts w:cs="Calibri"/>
          <w:lang w:eastAsia="en-GB"/>
        </w:rPr>
      </w:pPr>
      <w:r w:rsidRPr="005B0548">
        <w:rPr>
          <w:rFonts w:cs="Calibri"/>
          <w:lang w:eastAsia="en-GB"/>
        </w:rPr>
        <w:t xml:space="preserve">Иако је првобитно осмишљена за велике компаније и финансијске институције, ЕУ Таксономија постаје све релевантнија и за МСП, јер: банке и фондови користе ова правила да процене да ли ће финансирати МСП, МСП у ланцу снабдевања већих компанија треба да покажу усклађеност, коришћење зелених фондова и јавних подстицаја често зависи од усклађености са овим </w:t>
      </w:r>
      <w:proofErr w:type="spellStart"/>
      <w:r w:rsidRPr="005B0548">
        <w:rPr>
          <w:rFonts w:cs="Calibri"/>
          <w:lang w:eastAsia="en-GB"/>
        </w:rPr>
        <w:t>стандардима.Да</w:t>
      </w:r>
      <w:proofErr w:type="spellEnd"/>
      <w:r w:rsidRPr="005B0548">
        <w:rPr>
          <w:rFonts w:cs="Calibri"/>
          <w:lang w:eastAsia="en-GB"/>
        </w:rPr>
        <w:t xml:space="preserve"> би се нека активност сматрала "зелена", мора значајно доприносити бар једном од ових еколошких циљева и не сме нанети значајну штету осталима:</w:t>
      </w:r>
    </w:p>
    <w:p w14:paraId="0082D939"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Ублажавање климатских промена</w:t>
      </w:r>
    </w:p>
    <w:p w14:paraId="36D40FA9"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Прилагођавање климатским променама</w:t>
      </w:r>
    </w:p>
    <w:p w14:paraId="0069A9D4"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Одрживо коришћење и заштита водених и морских ресурса</w:t>
      </w:r>
    </w:p>
    <w:p w14:paraId="70A4EA60"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Транзиција ка циркуларној економији</w:t>
      </w:r>
    </w:p>
    <w:p w14:paraId="01C06635"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Спречавање загађења и контрола емисија штетних гасова</w:t>
      </w:r>
    </w:p>
    <w:p w14:paraId="4D1DAE62" w14:textId="77777777" w:rsidR="005F6900" w:rsidRPr="005B0548" w:rsidRDefault="005F6900" w:rsidP="0028626A">
      <w:pPr>
        <w:numPr>
          <w:ilvl w:val="0"/>
          <w:numId w:val="45"/>
        </w:numPr>
        <w:spacing w:before="100" w:beforeAutospacing="1" w:after="100" w:afterAutospacing="1"/>
        <w:rPr>
          <w:rFonts w:cs="Calibri"/>
          <w:lang w:eastAsia="en-GB"/>
        </w:rPr>
      </w:pPr>
      <w:r w:rsidRPr="005B0548">
        <w:rPr>
          <w:rFonts w:cs="Calibri"/>
          <w:bCs/>
          <w:lang w:eastAsia="en-GB"/>
        </w:rPr>
        <w:t>Заштита и обнова биодиверзитета и екосистема</w:t>
      </w:r>
    </w:p>
    <w:p w14:paraId="06B7C91D" w14:textId="77777777" w:rsidR="005F6900" w:rsidRPr="005B0548" w:rsidRDefault="005F6900" w:rsidP="005F6900">
      <w:pPr>
        <w:spacing w:before="100" w:beforeAutospacing="1" w:after="100" w:afterAutospacing="1"/>
        <w:rPr>
          <w:rFonts w:cs="Calibri"/>
          <w:lang w:eastAsia="en-GB"/>
        </w:rPr>
      </w:pPr>
      <w:r w:rsidRPr="005B0548">
        <w:rPr>
          <w:rFonts w:cs="Calibri"/>
          <w:lang w:eastAsia="en-GB"/>
        </w:rPr>
        <w:t xml:space="preserve">Да би нека активност била означена као </w:t>
      </w:r>
      <w:r w:rsidRPr="005B0548">
        <w:rPr>
          <w:rFonts w:cs="Calibri"/>
          <w:b/>
          <w:bCs/>
          <w:lang w:eastAsia="en-GB"/>
        </w:rPr>
        <w:t>одржива по Таксономији</w:t>
      </w:r>
      <w:r w:rsidRPr="005B0548">
        <w:rPr>
          <w:rFonts w:cs="Calibri"/>
          <w:lang w:eastAsia="en-GB"/>
        </w:rPr>
        <w:t>, мора да испуни три услова:</w:t>
      </w:r>
    </w:p>
    <w:p w14:paraId="53AB0A0B" w14:textId="77777777" w:rsidR="005F6900" w:rsidRPr="005B0548" w:rsidRDefault="005F6900" w:rsidP="005F6900">
      <w:pPr>
        <w:numPr>
          <w:ilvl w:val="0"/>
          <w:numId w:val="44"/>
        </w:numPr>
        <w:spacing w:before="100" w:beforeAutospacing="1" w:after="100" w:afterAutospacing="1"/>
        <w:rPr>
          <w:rFonts w:cs="Calibri"/>
          <w:lang w:eastAsia="en-GB"/>
        </w:rPr>
      </w:pPr>
      <w:r w:rsidRPr="005B0548">
        <w:rPr>
          <w:rFonts w:cs="Calibri"/>
          <w:bCs/>
          <w:lang w:eastAsia="en-GB"/>
        </w:rPr>
        <w:t>Значајно доприноси</w:t>
      </w:r>
      <w:r w:rsidRPr="005B0548">
        <w:rPr>
          <w:rFonts w:cs="Calibri"/>
          <w:lang w:eastAsia="en-GB"/>
        </w:rPr>
        <w:t xml:space="preserve"> бар једном од ових циљева,</w:t>
      </w:r>
    </w:p>
    <w:p w14:paraId="63AD1DCA" w14:textId="77777777" w:rsidR="005F6900" w:rsidRPr="005B0548" w:rsidRDefault="005F6900" w:rsidP="005F6900">
      <w:pPr>
        <w:numPr>
          <w:ilvl w:val="0"/>
          <w:numId w:val="44"/>
        </w:numPr>
        <w:spacing w:before="100" w:beforeAutospacing="1" w:after="100" w:afterAutospacing="1"/>
        <w:rPr>
          <w:rFonts w:cs="Calibri"/>
          <w:lang w:eastAsia="en-GB"/>
        </w:rPr>
      </w:pPr>
      <w:r w:rsidRPr="005B0548">
        <w:rPr>
          <w:rFonts w:cs="Calibri"/>
          <w:bCs/>
          <w:lang w:eastAsia="en-GB"/>
        </w:rPr>
        <w:t>Не штети</w:t>
      </w:r>
      <w:r w:rsidRPr="005B0548">
        <w:rPr>
          <w:rFonts w:cs="Calibri"/>
          <w:lang w:eastAsia="en-GB"/>
        </w:rPr>
        <w:t xml:space="preserve"> осталим циљевима (тзв. "</w:t>
      </w:r>
      <w:proofErr w:type="spellStart"/>
      <w:r w:rsidRPr="005B0548">
        <w:rPr>
          <w:rFonts w:cs="Calibri"/>
          <w:lang w:eastAsia="en-GB"/>
        </w:rPr>
        <w:t>do</w:t>
      </w:r>
      <w:proofErr w:type="spellEnd"/>
      <w:r w:rsidRPr="005B0548">
        <w:rPr>
          <w:rFonts w:cs="Calibri"/>
          <w:lang w:eastAsia="en-GB"/>
        </w:rPr>
        <w:t xml:space="preserve"> </w:t>
      </w:r>
      <w:proofErr w:type="spellStart"/>
      <w:r w:rsidRPr="005B0548">
        <w:rPr>
          <w:rFonts w:cs="Calibri"/>
          <w:lang w:eastAsia="en-GB"/>
        </w:rPr>
        <w:t>no</w:t>
      </w:r>
      <w:proofErr w:type="spellEnd"/>
      <w:r w:rsidRPr="005B0548">
        <w:rPr>
          <w:rFonts w:cs="Calibri"/>
          <w:lang w:eastAsia="en-GB"/>
        </w:rPr>
        <w:t xml:space="preserve"> </w:t>
      </w:r>
      <w:proofErr w:type="spellStart"/>
      <w:r w:rsidRPr="005B0548">
        <w:rPr>
          <w:rFonts w:cs="Calibri"/>
          <w:lang w:eastAsia="en-GB"/>
        </w:rPr>
        <w:t>significant</w:t>
      </w:r>
      <w:proofErr w:type="spellEnd"/>
      <w:r w:rsidRPr="005B0548">
        <w:rPr>
          <w:rFonts w:cs="Calibri"/>
          <w:lang w:eastAsia="en-GB"/>
        </w:rPr>
        <w:t xml:space="preserve"> </w:t>
      </w:r>
      <w:proofErr w:type="spellStart"/>
      <w:r w:rsidRPr="005B0548">
        <w:rPr>
          <w:rFonts w:cs="Calibri"/>
          <w:lang w:eastAsia="en-GB"/>
        </w:rPr>
        <w:t>harm</w:t>
      </w:r>
      <w:proofErr w:type="spellEnd"/>
      <w:r w:rsidRPr="005B0548">
        <w:rPr>
          <w:rFonts w:cs="Calibri"/>
          <w:lang w:eastAsia="en-GB"/>
        </w:rPr>
        <w:t>" принцип),</w:t>
      </w:r>
    </w:p>
    <w:p w14:paraId="035CA767" w14:textId="77777777" w:rsidR="005F6900" w:rsidRPr="005B0548" w:rsidRDefault="005F6900" w:rsidP="005F6900">
      <w:pPr>
        <w:numPr>
          <w:ilvl w:val="0"/>
          <w:numId w:val="44"/>
        </w:numPr>
        <w:spacing w:before="100" w:beforeAutospacing="1" w:after="100" w:afterAutospacing="1"/>
        <w:rPr>
          <w:rFonts w:cs="Calibri"/>
          <w:lang w:eastAsia="en-GB"/>
        </w:rPr>
      </w:pPr>
      <w:r w:rsidRPr="005B0548">
        <w:rPr>
          <w:rFonts w:cs="Calibri"/>
          <w:lang w:eastAsia="en-GB"/>
        </w:rPr>
        <w:t xml:space="preserve">Испуњава </w:t>
      </w:r>
      <w:r w:rsidRPr="005B0548">
        <w:rPr>
          <w:rFonts w:cs="Calibri"/>
          <w:bCs/>
          <w:lang w:eastAsia="en-GB"/>
        </w:rPr>
        <w:t>минималне друштвене и управљачке стандарде</w:t>
      </w:r>
      <w:r w:rsidRPr="005B0548">
        <w:rPr>
          <w:rFonts w:cs="Calibri"/>
          <w:lang w:eastAsia="en-GB"/>
        </w:rPr>
        <w:t xml:space="preserve"> (нпр. поштовање радничких права, транспарентност).</w:t>
      </w:r>
    </w:p>
    <w:p w14:paraId="148EC5CE" w14:textId="77777777" w:rsidR="005F6900" w:rsidRPr="0028626A" w:rsidRDefault="005F6900" w:rsidP="005F6900">
      <w:pPr>
        <w:rPr>
          <w:rFonts w:cs="Calibri"/>
          <w:b/>
          <w:i/>
          <w:iCs/>
          <w:lang w:eastAsia="en-GB"/>
        </w:rPr>
      </w:pPr>
      <w:r w:rsidRPr="0028626A">
        <w:rPr>
          <w:rFonts w:cs="Calibri"/>
          <w:b/>
          <w:i/>
          <w:iCs/>
          <w:lang w:eastAsia="en-GB"/>
        </w:rPr>
        <w:t>Пример за примене ЕУ Таксономија примењује у пракси:</w:t>
      </w:r>
    </w:p>
    <w:p w14:paraId="444729D5" w14:textId="77777777" w:rsidR="005F6900" w:rsidRPr="005B0548" w:rsidRDefault="005F6900" w:rsidP="005F6900">
      <w:pPr>
        <w:rPr>
          <w:rFonts w:cs="Calibri"/>
          <w:lang w:eastAsia="en-GB"/>
        </w:rPr>
      </w:pPr>
    </w:p>
    <w:p w14:paraId="791C9A7B" w14:textId="77777777" w:rsidR="005F6900" w:rsidRPr="005B0548" w:rsidRDefault="005F6900" w:rsidP="005F6900">
      <w:pPr>
        <w:rPr>
          <w:rFonts w:cs="Calibri"/>
          <w:lang w:eastAsia="en-GB"/>
        </w:rPr>
      </w:pPr>
      <w:r w:rsidRPr="005B0548">
        <w:rPr>
          <w:rFonts w:cs="Calibri"/>
          <w:b/>
          <w:lang w:eastAsia="en-GB"/>
        </w:rPr>
        <w:t>Пример 1</w:t>
      </w:r>
      <w:r w:rsidRPr="005B0548">
        <w:rPr>
          <w:rFonts w:cs="Calibri"/>
          <w:lang w:eastAsia="en-GB"/>
        </w:rPr>
        <w:t>: Ако МСП у производњи угради соларне панеле – то може бити активност усклађена са циљем ублажавања климатских промена, ако се поштују технички критеријуми (нпр. одређена енергетска ефикасност, одрживи материјали).</w:t>
      </w:r>
    </w:p>
    <w:p w14:paraId="595F532C" w14:textId="77777777" w:rsidR="005F6900" w:rsidRPr="005B0548" w:rsidRDefault="005F6900" w:rsidP="005F6900">
      <w:pPr>
        <w:rPr>
          <w:rFonts w:cs="Calibri"/>
          <w:lang w:eastAsia="en-GB"/>
        </w:rPr>
      </w:pPr>
      <w:r w:rsidRPr="005B0548">
        <w:rPr>
          <w:rFonts w:cs="Calibri"/>
          <w:b/>
          <w:lang w:eastAsia="en-GB"/>
        </w:rPr>
        <w:t>Пример 2</w:t>
      </w:r>
      <w:r w:rsidRPr="005B0548">
        <w:rPr>
          <w:rFonts w:cs="Calibri"/>
          <w:lang w:eastAsia="en-GB"/>
        </w:rPr>
        <w:t>: Ако МСП прелази на еколошку амбалажу и смањује отпад – то је у складу са циљем транзиције ка циркуларној економији.</w:t>
      </w:r>
    </w:p>
    <w:p w14:paraId="3906ADCE" w14:textId="77777777" w:rsidR="005F6900" w:rsidRPr="005B0548" w:rsidRDefault="005F6900" w:rsidP="005F6900">
      <w:pPr>
        <w:pStyle w:val="NoSpacing"/>
        <w:rPr>
          <w:lang w:eastAsia="en-GB"/>
        </w:rPr>
      </w:pPr>
      <w:r w:rsidRPr="005B0548">
        <w:rPr>
          <w:b/>
          <w:lang w:eastAsia="en-GB"/>
        </w:rPr>
        <w:t>Пример 3</w:t>
      </w:r>
      <w:r w:rsidRPr="005B0548">
        <w:rPr>
          <w:lang w:eastAsia="en-GB"/>
        </w:rPr>
        <w:t xml:space="preserve">: Ако МСП прелази на коришћење еколошких материјала и уводи зелене процесе то је у складу са циљем смањења  потрошње воде, без токсичних хемикалија. </w:t>
      </w:r>
    </w:p>
    <w:p w14:paraId="5046841D" w14:textId="77777777" w:rsidR="005F6900" w:rsidRPr="005B0548" w:rsidRDefault="005F6900" w:rsidP="005F6900">
      <w:pPr>
        <w:pStyle w:val="NoSpacing"/>
        <w:rPr>
          <w:lang w:eastAsia="en-GB"/>
        </w:rPr>
      </w:pPr>
      <w:r w:rsidRPr="005B0548">
        <w:rPr>
          <w:b/>
          <w:lang w:eastAsia="en-GB"/>
        </w:rPr>
        <w:t>Пример 4</w:t>
      </w:r>
      <w:r w:rsidRPr="005B0548">
        <w:rPr>
          <w:lang w:eastAsia="en-GB"/>
        </w:rPr>
        <w:t>: Ако МСП врши замену возног парка и намерава да корист еко-возила или електрична возила, то директно доприноси смањењу  емисија гасова, унапређењу логистике, то јест спречавању загађења.</w:t>
      </w:r>
      <w:r w:rsidRPr="005B0548">
        <w:rPr>
          <w:rFonts w:ascii="Times New Roman" w:hAnsi="Times New Roman" w:cs="Times New Roman"/>
          <w:sz w:val="24"/>
          <w:szCs w:val="24"/>
          <w:lang w:eastAsia="en-GB"/>
        </w:rPr>
        <w:t xml:space="preserve"> </w:t>
      </w:r>
    </w:p>
    <w:p w14:paraId="3C4722EE" w14:textId="71E09EBB" w:rsidR="005F6900" w:rsidRPr="0028626A" w:rsidRDefault="005F6900" w:rsidP="005F6900">
      <w:pPr>
        <w:spacing w:before="100" w:beforeAutospacing="1" w:after="100" w:afterAutospacing="1"/>
        <w:outlineLvl w:val="2"/>
        <w:rPr>
          <w:rFonts w:cs="Calibri"/>
          <w:lang w:eastAsia="en-GB"/>
        </w:rPr>
      </w:pPr>
      <w:bookmarkStart w:id="12" w:name="_Toc195167993"/>
      <w:r w:rsidRPr="0028626A">
        <w:rPr>
          <w:rFonts w:cs="Calibri"/>
          <w:lang w:eastAsia="en-GB"/>
        </w:rPr>
        <w:lastRenderedPageBreak/>
        <w:t>3.</w:t>
      </w:r>
      <w:r w:rsidR="0028626A" w:rsidRPr="0028626A">
        <w:rPr>
          <w:rFonts w:cs="Calibri"/>
          <w:lang w:eastAsia="en-GB"/>
        </w:rPr>
        <w:t>3</w:t>
      </w:r>
      <w:r w:rsidRPr="0028626A">
        <w:rPr>
          <w:rFonts w:cs="Calibri"/>
          <w:lang w:eastAsia="en-GB"/>
        </w:rPr>
        <w:t>. Примери финансираних пројеката</w:t>
      </w:r>
      <w:bookmarkEnd w:id="12"/>
      <w:r w:rsidRPr="0028626A">
        <w:rPr>
          <w:rFonts w:cs="Calibri"/>
          <w:lang w:eastAsia="en-GB"/>
        </w:rPr>
        <w:t xml:space="preserve">  </w:t>
      </w:r>
    </w:p>
    <w:p w14:paraId="1013C880" w14:textId="77777777" w:rsidR="005F6900" w:rsidRPr="005B0548" w:rsidRDefault="005F6900" w:rsidP="0028626A">
      <w:pPr>
        <w:spacing w:before="100" w:beforeAutospacing="1" w:after="100" w:afterAutospacing="1"/>
        <w:jc w:val="both"/>
        <w:rPr>
          <w:rFonts w:cs="Calibri"/>
          <w:lang w:eastAsia="en-GB"/>
        </w:rPr>
      </w:pPr>
      <w:r w:rsidRPr="005B0548">
        <w:rPr>
          <w:rFonts w:cs="Calibri"/>
          <w:lang w:eastAsia="en-GB"/>
        </w:rPr>
        <w:t>Зелени финансијски механизми могу подржати широк спектар активности, али само они пројекти који имају јасан позитиван ефекат на животну средину и друштво могу бити квалификовани за зелено финансирање. Неки од типова пројеката који могу бити финансирани укључују:</w:t>
      </w:r>
    </w:p>
    <w:p w14:paraId="61FF8747" w14:textId="77777777" w:rsidR="005F6900"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Пројекти обновљивих извора енергије</w:t>
      </w:r>
      <w:r w:rsidRPr="005B0548">
        <w:rPr>
          <w:rFonts w:cs="Calibri"/>
          <w:lang w:eastAsia="en-GB"/>
        </w:rPr>
        <w:t>: Инвестиције у соларне и ветроелектране, геотермалне и водне електране.</w:t>
      </w:r>
    </w:p>
    <w:p w14:paraId="22F59226" w14:textId="77777777" w:rsidR="005F6900"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Пројекти енергетске ефикасности</w:t>
      </w:r>
      <w:r w:rsidRPr="005B0548">
        <w:rPr>
          <w:rFonts w:cs="Calibri"/>
          <w:lang w:eastAsia="en-GB"/>
        </w:rPr>
        <w:t>: Побољшање енергетске ефикасности у индустрији, транспортном сектору и зградама.</w:t>
      </w:r>
    </w:p>
    <w:p w14:paraId="41F49019" w14:textId="77777777" w:rsidR="005F6900"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Пројекти циркуларне економије</w:t>
      </w:r>
      <w:r w:rsidRPr="005B0548">
        <w:rPr>
          <w:rFonts w:cs="Calibri"/>
          <w:lang w:eastAsia="en-GB"/>
        </w:rPr>
        <w:t>: Иницијативе које промовишу поновну употребу материјала, рециклирање и смањење отпада.</w:t>
      </w:r>
    </w:p>
    <w:p w14:paraId="5E48F62F" w14:textId="77777777" w:rsidR="005F6900"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Смањење загађења</w:t>
      </w:r>
      <w:r w:rsidRPr="005B0548">
        <w:rPr>
          <w:rFonts w:cs="Calibri"/>
          <w:lang w:eastAsia="en-GB"/>
        </w:rPr>
        <w:t>: Пројекти који смањују емисије угљен-диоксида, штетне гасове или загађење воде.</w:t>
      </w:r>
    </w:p>
    <w:p w14:paraId="30194084" w14:textId="77777777" w:rsidR="005F6900"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Одрживи транспорт</w:t>
      </w:r>
      <w:r w:rsidRPr="005B0548">
        <w:rPr>
          <w:rFonts w:cs="Calibri"/>
          <w:lang w:eastAsia="en-GB"/>
        </w:rPr>
        <w:t>: Развој инфраструктуре за електрична возила, побољшање јавног превоза и промоција еколошки прихватљивих облика транспорта.</w:t>
      </w:r>
    </w:p>
    <w:p w14:paraId="53CCE0D1" w14:textId="77777777" w:rsidR="005F6900" w:rsidRPr="005B0548" w:rsidRDefault="005F6900" w:rsidP="0028626A">
      <w:pPr>
        <w:numPr>
          <w:ilvl w:val="0"/>
          <w:numId w:val="35"/>
        </w:numPr>
        <w:spacing w:before="100" w:beforeAutospacing="1" w:after="100" w:afterAutospacing="1"/>
        <w:jc w:val="both"/>
        <w:rPr>
          <w:rFonts w:cs="Calibri"/>
          <w:lang w:eastAsia="en-GB"/>
        </w:rPr>
      </w:pPr>
      <w:r w:rsidRPr="005B0548">
        <w:rPr>
          <w:rFonts w:cs="Calibri"/>
          <w:b/>
          <w:bCs/>
          <w:lang w:eastAsia="en-GB"/>
        </w:rPr>
        <w:t>Заштита биодиверзитета и природних ресурса</w:t>
      </w:r>
      <w:r w:rsidRPr="005B0548">
        <w:rPr>
          <w:rFonts w:cs="Calibri"/>
          <w:lang w:eastAsia="en-GB"/>
        </w:rPr>
        <w:t>: Пројекти који се фокусирају на очување природе, као што су заштићена подручја, обнова екосистема или санација земљишта.</w:t>
      </w:r>
    </w:p>
    <w:p w14:paraId="75D99C19" w14:textId="77777777" w:rsidR="005F6900" w:rsidRPr="005B0548" w:rsidRDefault="005F6900" w:rsidP="005F6900">
      <w:pPr>
        <w:spacing w:before="100" w:beforeAutospacing="1" w:after="100" w:afterAutospacing="1"/>
        <w:rPr>
          <w:rFonts w:cs="Calibri"/>
          <w:lang w:eastAsia="en-GB"/>
        </w:rPr>
      </w:pPr>
      <w:r w:rsidRPr="005B0548">
        <w:rPr>
          <w:rFonts w:cs="Calibri"/>
          <w:lang w:eastAsia="en-GB"/>
        </w:rPr>
        <w:t>Пројекти који се сматрају одрживим морају бити у складу са зеленим стандардима, као што су они из ЕУ таксономије, и бити способни да покажу конкретне еколошке и друштвене користи.</w:t>
      </w:r>
    </w:p>
    <w:p w14:paraId="384653AF" w14:textId="77777777" w:rsidR="005F6900" w:rsidRPr="00E524F9" w:rsidRDefault="005F6900" w:rsidP="005F6900">
      <w:pPr>
        <w:pStyle w:val="Heading1"/>
        <w:spacing w:before="0" w:after="0"/>
        <w:rPr>
          <w:rFonts w:asciiTheme="minorHAnsi" w:hAnsiTheme="minorHAnsi" w:cstheme="minorHAnsi"/>
          <w:b/>
          <w:color w:val="auto"/>
          <w:sz w:val="22"/>
          <w:szCs w:val="22"/>
        </w:rPr>
      </w:pPr>
      <w:bookmarkStart w:id="13" w:name="_Toc195167994"/>
      <w:r w:rsidRPr="00E524F9">
        <w:rPr>
          <w:rFonts w:asciiTheme="minorHAnsi" w:hAnsiTheme="minorHAnsi" w:cstheme="minorHAnsi"/>
          <w:b/>
          <w:color w:val="auto"/>
          <w:sz w:val="22"/>
          <w:szCs w:val="22"/>
        </w:rPr>
        <w:t>4. Преглед расположивих зелених финансијских  инструмената у Србији</w:t>
      </w:r>
      <w:bookmarkEnd w:id="13"/>
      <w:r w:rsidRPr="00E524F9">
        <w:rPr>
          <w:rFonts w:asciiTheme="minorHAnsi" w:hAnsiTheme="minorHAnsi" w:cstheme="minorHAnsi"/>
          <w:b/>
          <w:color w:val="auto"/>
          <w:sz w:val="22"/>
          <w:szCs w:val="22"/>
        </w:rPr>
        <w:t xml:space="preserve"> </w:t>
      </w:r>
    </w:p>
    <w:p w14:paraId="7D0529ED"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Зелени финансијски инструменти представљају кључне механизме за подршку инвестицијама и пројектима који имају позитиван утицај на животну средину. Ови инструменти обухватају различите облике финансирања, као што су зелене обвезнице, кредити, субвенције и друга специјализована средства, која омогућавају предузећима да реализују своје пројекте одрживог развоја. Примена ових инструмената омогућава предузећима бољи приступ капиталу за зелене инвестиције, које су усмерене на повећање енергетске ефикасности, коришћење обновљивих извора енергије, оптимизацију употребе природних ресурса, дигитализацију пословања и унапређење циркуларне економије.</w:t>
      </w:r>
    </w:p>
    <w:p w14:paraId="4A2662A2"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У Србији и Северној Македонији, мала и средња предузећа (МСП) све више препознају потенцијал зелених инвестиција, које су примарно фокусиране на модернизацију опреме и технологија са циљем смањења потрошње енергије и ресурса. Осим тога, значајан део зелених инвестиција укључује инсталацију соларних панела за интерну употребу или продају електричне енергије, као и унапређење система управљања отпадом. Иако се многа предузећа ослањају на сопствена средства за финансирање ових пројеката, све чешће користе и спољне изворе финансирања, укључујући субвенције, кредите и друге подстицајне механизме.</w:t>
      </w:r>
    </w:p>
    <w:p w14:paraId="3DA2AC4E"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Сопствено финансирање најчешће је прикладно за пројекте који не захтевају велика улагања или за оне са кратким роком повраћаја инвестиције. Међутим, за веће пројекте и дугорочне иницијативе, МСП-ови се одлучују за спољне изворе финансирања, као што су кредити међународних финансијских институција, комерцијалне банке, лизинг аранжмани, јавно-приватна партнерства и субвенције. Међу овим инструментима, зелене субвенције и повољни кредити играју кључну улогу у подршци МСП-овима у процесу озелењавања пословања.</w:t>
      </w:r>
    </w:p>
    <w:p w14:paraId="24B902CE"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 xml:space="preserve">Субвенције, које обезбеђују државе или непрофитне организације, не морају да се враћају и намењене су подстицању еколошких пројеката, укључујући обновљиве изворе енергије, енергетску ефикасност, одрживо управљање отпадом и развој циркуларне економије. Повољни кредити који се нуде МСП-овима обухватају каматне стопе ниже од 3%, период отплате до 10 година и </w:t>
      </w:r>
      <w:proofErr w:type="spellStart"/>
      <w:r w:rsidRPr="005B0548">
        <w:rPr>
          <w:rFonts w:cs="Calibri"/>
          <w:lang w:eastAsia="en-GB"/>
        </w:rPr>
        <w:t>грејс</w:t>
      </w:r>
      <w:proofErr w:type="spellEnd"/>
      <w:r w:rsidRPr="005B0548">
        <w:rPr>
          <w:rFonts w:cs="Calibri"/>
          <w:lang w:eastAsia="en-GB"/>
        </w:rPr>
        <w:t xml:space="preserve"> период од најмање годину дана, уз флексибилне захтеве за јемство и гаранције.</w:t>
      </w:r>
    </w:p>
    <w:p w14:paraId="68AD63D6"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lastRenderedPageBreak/>
        <w:t>Међународне финансијске институције такође пружају директно финансирање или посредством комерцијалних банака за пројекте који смањују потрошњу енергије, емисију ЦО2 и доприносе модернизацији производних капацитета. Ове инвестиције не само да помажу МСП-овима у смањењу трошкова пословања, већ повећавају њихову конкурентност, унапређују квалитет производа и олакшавају приступ иностраним тржиштима.</w:t>
      </w:r>
    </w:p>
    <w:p w14:paraId="5EDC0220"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Институције као што су Европска банка за обнову и развој (ЕБРД), Немачка развојна банка (KFW) и друге међународне финансијске организације, пружају значајну финансијску подршку МСП-овима кроз зајмове, грантове и кредитне линије, које се касније дистрибуирају путем локалних финансијских институција. Поред финансијских средстава, ове институције нуде и техничку подршку у виду консултација, тренинга и алата за праћење енергетске ефикасности, што додатно доприноси развоју тржишта и подизању свести о одрживим решењима.</w:t>
      </w:r>
    </w:p>
    <w:p w14:paraId="394A695B" w14:textId="51365655"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 xml:space="preserve">Ипак, једно од кључних ограничења у имплементацији зелених финансијских инструмената јесте недовољна информисаност МСП-ова о доступним могућностима финансирања. Због тога, овај водич пружа јасан и свеобухватан преглед зелених финансијских инструмената доступних у Србији и Северној Македонији, са конкретним информацијама о потенцијалним изворима финансирања, условима за њихово добијање и начинима на које МСП-ови могу да их искористе за унапређење својих пословних активности </w:t>
      </w:r>
      <w:proofErr w:type="spellStart"/>
      <w:r w:rsidRPr="005B0548">
        <w:rPr>
          <w:rFonts w:cs="Calibri"/>
          <w:lang w:eastAsia="en-GB"/>
        </w:rPr>
        <w:t>ускладу</w:t>
      </w:r>
      <w:proofErr w:type="spellEnd"/>
      <w:r w:rsidRPr="005B0548">
        <w:rPr>
          <w:rFonts w:cs="Calibri"/>
          <w:lang w:eastAsia="en-GB"/>
        </w:rPr>
        <w:t xml:space="preserve"> са принципима одрживог развоја.    </w:t>
      </w:r>
    </w:p>
    <w:p w14:paraId="05A46BC5" w14:textId="7B989AB7" w:rsidR="005F6900" w:rsidRPr="005B0548" w:rsidRDefault="005F6900" w:rsidP="005F6900">
      <w:pPr>
        <w:spacing w:before="100" w:beforeAutospacing="1" w:after="100" w:afterAutospacing="1"/>
        <w:jc w:val="both"/>
        <w:rPr>
          <w:rFonts w:cs="Calibri"/>
          <w:lang w:eastAsia="en-GB"/>
        </w:rPr>
      </w:pPr>
      <w:r w:rsidRPr="0028626A">
        <w:rPr>
          <w:rFonts w:cs="Calibri"/>
          <w:b/>
          <w:i/>
          <w:iCs/>
          <w:lang w:eastAsia="en-GB"/>
        </w:rPr>
        <w:t>Могућности зеленог финансирања кроз учешће у пројектима</w:t>
      </w:r>
      <w:r w:rsidR="0028626A">
        <w:rPr>
          <w:rFonts w:cs="Calibri"/>
          <w:b/>
          <w:i/>
          <w:iCs/>
          <w:lang w:eastAsia="en-GB"/>
        </w:rPr>
        <w:t xml:space="preserve">: </w:t>
      </w:r>
      <w:r w:rsidRPr="005B0548">
        <w:rPr>
          <w:rFonts w:cs="Calibri"/>
          <w:lang w:eastAsia="en-GB"/>
        </w:rPr>
        <w:t>У Србији је доступно више финансијских инструмената и програма који подржавају мала и средња предузећа (МСП) у процесу озелењавања пословања. Ови програми пружају финансијску и нефинансијску подршку за унапређење енергетске ефикасности, смањење емисија и увођење одрживих технологија.</w:t>
      </w:r>
    </w:p>
    <w:p w14:paraId="0FC70C6E"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Програми Уједињених нација за развој (UNDP):</w:t>
      </w:r>
      <w:r w:rsidRPr="005B0548">
        <w:rPr>
          <w:rFonts w:cs="Calibri"/>
          <w:lang w:eastAsia="en-GB"/>
        </w:rPr>
        <w:t xml:space="preserve"> UNDP спроводи иницијативе за побољшање приступа климатском финансирању у Србији. Ови програми пружају подршку у припреми пројеката, анализи изводљивости и економским анализама, како би се олакшао приступ додатним изворима финансирања за зелене пројекте. ​</w:t>
      </w:r>
    </w:p>
    <w:p w14:paraId="6234A3B6"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Програми Развојне банке Савета Европе (CEB):</w:t>
      </w:r>
      <w:r w:rsidRPr="005B0548">
        <w:rPr>
          <w:rFonts w:cs="Calibri"/>
          <w:lang w:eastAsia="en-GB"/>
        </w:rPr>
        <w:t xml:space="preserve"> CEB, у сарадњи са локалним финансијским институцијама, пружа подршку за пројекте који доприносе одрживом развоју и заштити животне средине. Ови програми су усмерени на финансирање пројеката који побољшавају енергетску ефикасност и смањују угљенични отисак.</w:t>
      </w:r>
    </w:p>
    <w:p w14:paraId="18796F76"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 xml:space="preserve">Програм "SME </w:t>
      </w:r>
      <w:proofErr w:type="spellStart"/>
      <w:r w:rsidRPr="005B0548">
        <w:rPr>
          <w:rFonts w:cs="Calibri"/>
          <w:b/>
          <w:lang w:eastAsia="en-GB"/>
        </w:rPr>
        <w:t>Go</w:t>
      </w:r>
      <w:proofErr w:type="spellEnd"/>
      <w:r w:rsidRPr="005B0548">
        <w:rPr>
          <w:rFonts w:cs="Calibri"/>
          <w:b/>
          <w:lang w:eastAsia="en-GB"/>
        </w:rPr>
        <w:t xml:space="preserve"> </w:t>
      </w:r>
      <w:proofErr w:type="spellStart"/>
      <w:r w:rsidRPr="005B0548">
        <w:rPr>
          <w:rFonts w:cs="Calibri"/>
          <w:b/>
          <w:lang w:eastAsia="en-GB"/>
        </w:rPr>
        <w:t>Green</w:t>
      </w:r>
      <w:proofErr w:type="spellEnd"/>
      <w:r w:rsidRPr="005B0548">
        <w:rPr>
          <w:rFonts w:cs="Calibri"/>
          <w:b/>
          <w:lang w:eastAsia="en-GB"/>
        </w:rPr>
        <w:t>" Европске банке за обнову и развој (EBRD):</w:t>
      </w:r>
      <w:r w:rsidRPr="005B0548">
        <w:rPr>
          <w:rFonts w:cs="Calibri"/>
          <w:lang w:eastAsia="en-GB"/>
        </w:rPr>
        <w:t xml:space="preserve"> EBRD, у сарадњи са Европском унијом, покренуо је програм "SME </w:t>
      </w:r>
      <w:proofErr w:type="spellStart"/>
      <w:r w:rsidRPr="005B0548">
        <w:rPr>
          <w:rFonts w:cs="Calibri"/>
          <w:lang w:eastAsia="en-GB"/>
        </w:rPr>
        <w:t>Go</w:t>
      </w:r>
      <w:proofErr w:type="spellEnd"/>
      <w:r w:rsidRPr="005B0548">
        <w:rPr>
          <w:rFonts w:cs="Calibri"/>
          <w:lang w:eastAsia="en-GB"/>
        </w:rPr>
        <w:t xml:space="preserve"> </w:t>
      </w:r>
      <w:proofErr w:type="spellStart"/>
      <w:r w:rsidRPr="005B0548">
        <w:rPr>
          <w:rFonts w:cs="Calibri"/>
          <w:lang w:eastAsia="en-GB"/>
        </w:rPr>
        <w:t>Green</w:t>
      </w:r>
      <w:proofErr w:type="spellEnd"/>
      <w:r w:rsidRPr="005B0548">
        <w:rPr>
          <w:rFonts w:cs="Calibri"/>
          <w:lang w:eastAsia="en-GB"/>
        </w:rPr>
        <w:t xml:space="preserve">" са циљем подршке МСП у Србији у смањењу утицаја на животну средину и повећању одрживости. Програм пружа кредите за инвестиције у зелене технологије, као што су соларни панели, изолација зграда и енергетски ефикасна опрема. По успешном завршетку пројекта, предузећа могу добити повраћај средстава у износу од 10% до 15% од вредности кредита. </w:t>
      </w:r>
    </w:p>
    <w:p w14:paraId="05B5BC64"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Програми Европске инвестиционе банке (EIB):</w:t>
      </w:r>
      <w:r w:rsidRPr="005B0548">
        <w:rPr>
          <w:rFonts w:cs="Calibri"/>
          <w:lang w:eastAsia="en-GB"/>
        </w:rPr>
        <w:t xml:space="preserve"> EIB, у сарадњи са локалним банкама попут </w:t>
      </w:r>
      <w:proofErr w:type="spellStart"/>
      <w:r w:rsidRPr="005B0548">
        <w:rPr>
          <w:rFonts w:cs="Calibri"/>
          <w:lang w:eastAsia="en-GB"/>
        </w:rPr>
        <w:t>Banca</w:t>
      </w:r>
      <w:proofErr w:type="spellEnd"/>
      <w:r w:rsidRPr="005B0548">
        <w:rPr>
          <w:rFonts w:cs="Calibri"/>
          <w:lang w:eastAsia="en-GB"/>
        </w:rPr>
        <w:t xml:space="preserve"> </w:t>
      </w:r>
      <w:proofErr w:type="spellStart"/>
      <w:r w:rsidRPr="005B0548">
        <w:rPr>
          <w:rFonts w:cs="Calibri"/>
          <w:lang w:eastAsia="en-GB"/>
        </w:rPr>
        <w:t>Intesa</w:t>
      </w:r>
      <w:proofErr w:type="spellEnd"/>
      <w:r w:rsidRPr="005B0548">
        <w:rPr>
          <w:rFonts w:cs="Calibri"/>
          <w:lang w:eastAsia="en-GB"/>
        </w:rPr>
        <w:t xml:space="preserve">, обезбеђује значајна средства за одрживи раст српских МСП. Ови програми омогућавају приступ повољним кредитима за пројекте који доприносе зеленој транзицији и унапређењу енергетске ефикасности. </w:t>
      </w:r>
    </w:p>
    <w:p w14:paraId="2808F67C" w14:textId="77777777" w:rsidR="005F6900" w:rsidRDefault="005F6900" w:rsidP="005F6900">
      <w:pPr>
        <w:spacing w:before="100" w:beforeAutospacing="1" w:after="100" w:afterAutospacing="1"/>
        <w:jc w:val="both"/>
        <w:rPr>
          <w:rFonts w:cs="Calibri"/>
          <w:lang w:eastAsia="en-GB"/>
        </w:rPr>
      </w:pPr>
      <w:r w:rsidRPr="005B0548">
        <w:rPr>
          <w:rFonts w:cs="Calibri"/>
          <w:b/>
          <w:lang w:eastAsia="en-GB"/>
        </w:rPr>
        <w:t>Програми Међународне финансијске корпорације (IFC):</w:t>
      </w:r>
      <w:r w:rsidRPr="005B0548">
        <w:rPr>
          <w:rFonts w:cs="Calibri"/>
          <w:lang w:eastAsia="en-GB"/>
        </w:rPr>
        <w:t xml:space="preserve"> IFC сарађује са локалним банкама, као што је </w:t>
      </w:r>
      <w:proofErr w:type="spellStart"/>
      <w:r w:rsidRPr="005B0548">
        <w:rPr>
          <w:rFonts w:cs="Calibri"/>
          <w:lang w:eastAsia="en-GB"/>
        </w:rPr>
        <w:t>Erste</w:t>
      </w:r>
      <w:proofErr w:type="spellEnd"/>
      <w:r w:rsidRPr="005B0548">
        <w:rPr>
          <w:rFonts w:cs="Calibri"/>
          <w:lang w:eastAsia="en-GB"/>
        </w:rPr>
        <w:t xml:space="preserve"> </w:t>
      </w:r>
      <w:proofErr w:type="spellStart"/>
      <w:r w:rsidRPr="005B0548">
        <w:rPr>
          <w:rFonts w:cs="Calibri"/>
          <w:lang w:eastAsia="en-GB"/>
        </w:rPr>
        <w:t>Bank</w:t>
      </w:r>
      <w:proofErr w:type="spellEnd"/>
      <w:r w:rsidRPr="005B0548">
        <w:rPr>
          <w:rFonts w:cs="Calibri"/>
          <w:lang w:eastAsia="en-GB"/>
        </w:rPr>
        <w:t xml:space="preserve">, како би повећао приступ финансирању за МСП и подржао зелену транзицију. Ови програми пружају кредите за пројекте који укључују унапређење енергетске ефикасности и смањење емисија. </w:t>
      </w:r>
    </w:p>
    <w:p w14:paraId="5B036C98" w14:textId="77777777" w:rsidR="0028626A" w:rsidRPr="005B0548" w:rsidRDefault="0028626A" w:rsidP="005F6900">
      <w:pPr>
        <w:spacing w:before="100" w:beforeAutospacing="1" w:after="100" w:afterAutospacing="1"/>
        <w:jc w:val="both"/>
        <w:rPr>
          <w:rFonts w:cs="Calibri"/>
          <w:lang w:eastAsia="en-GB"/>
        </w:rPr>
      </w:pPr>
    </w:p>
    <w:p w14:paraId="7AE4C8B0"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lastRenderedPageBreak/>
        <w:t>COSME</w:t>
      </w:r>
      <w:r w:rsidRPr="005B0548">
        <w:rPr>
          <w:rFonts w:cs="Calibri"/>
          <w:lang w:eastAsia="en-GB"/>
        </w:rPr>
        <w:t xml:space="preserve">: Иако је COSME програм за конкурентност предузећа и МСП-ова трајао од 2014. до 2020. године, његове активности су настављене кроз нови програм под називом </w:t>
      </w:r>
      <w:proofErr w:type="spellStart"/>
      <w:r w:rsidRPr="005B0548">
        <w:rPr>
          <w:rFonts w:cs="Calibri"/>
          <w:lang w:eastAsia="en-GB"/>
        </w:rPr>
        <w:t>InvestEU</w:t>
      </w:r>
      <w:proofErr w:type="spellEnd"/>
      <w:r w:rsidRPr="005B0548">
        <w:rPr>
          <w:rFonts w:cs="Calibri"/>
          <w:lang w:eastAsia="en-GB"/>
        </w:rPr>
        <w:t>, који ће трајати до 2027. године. Овај програм има за циљ да олакша приступ финансијама и тржиштима, побољша пословно окружење и подстакне предузетништво.</w:t>
      </w:r>
      <w:r w:rsidRPr="005B0548">
        <w:rPr>
          <w:rStyle w:val="FootnoteReference"/>
          <w:rFonts w:cs="Calibri"/>
          <w:lang w:eastAsia="en-GB"/>
        </w:rPr>
        <w:footnoteReference w:id="6"/>
      </w:r>
      <w:r w:rsidRPr="005B0548">
        <w:rPr>
          <w:rFonts w:cs="Calibri"/>
          <w:lang w:eastAsia="en-GB"/>
        </w:rPr>
        <w:t xml:space="preserve"> Програм обједињује различите финансијске инструменте ЕУ како би олакшао приступ финансијама за МСП-ове.</w:t>
      </w:r>
    </w:p>
    <w:p w14:paraId="35F3F961" w14:textId="77777777" w:rsidR="005F6900" w:rsidRPr="005B0548" w:rsidRDefault="005F6900" w:rsidP="005F6900">
      <w:pPr>
        <w:spacing w:before="100" w:beforeAutospacing="1" w:after="100" w:afterAutospacing="1"/>
        <w:jc w:val="both"/>
        <w:rPr>
          <w:rFonts w:cs="Calibri"/>
          <w:lang w:eastAsia="en-GB"/>
        </w:rPr>
      </w:pPr>
      <w:proofErr w:type="spellStart"/>
      <w:r w:rsidRPr="005B0548">
        <w:rPr>
          <w:rFonts w:cs="Calibri"/>
          <w:b/>
          <w:lang w:eastAsia="en-GB"/>
        </w:rPr>
        <w:t>Horizon</w:t>
      </w:r>
      <w:proofErr w:type="spellEnd"/>
      <w:r w:rsidRPr="005B0548">
        <w:rPr>
          <w:rFonts w:cs="Calibri"/>
          <w:b/>
          <w:lang w:eastAsia="en-GB"/>
        </w:rPr>
        <w:t xml:space="preserve"> </w:t>
      </w:r>
      <w:proofErr w:type="spellStart"/>
      <w:r w:rsidRPr="005B0548">
        <w:rPr>
          <w:rFonts w:cs="Calibri"/>
          <w:b/>
          <w:lang w:eastAsia="en-GB"/>
        </w:rPr>
        <w:t>Europe</w:t>
      </w:r>
      <w:proofErr w:type="spellEnd"/>
      <w:r w:rsidRPr="005B0548">
        <w:rPr>
          <w:rFonts w:cs="Calibri"/>
          <w:b/>
          <w:lang w:eastAsia="en-GB"/>
        </w:rPr>
        <w:t>:</w:t>
      </w:r>
      <w:r w:rsidRPr="005B0548">
        <w:rPr>
          <w:rFonts w:cs="Calibri"/>
          <w:lang w:eastAsia="en-GB"/>
        </w:rPr>
        <w:t xml:space="preserve"> Ово је главни програм ЕУ за истраживање и иновације, доступан српским МСП-овима. Програм пружа финансијску подршку за истраживачке и иновационе пројекте у различитим фазама развоја. Пријаве се подносе као одговор на јавне позиве објављене на Порталу за финансирање и тендере.  </w:t>
      </w:r>
    </w:p>
    <w:p w14:paraId="6BB2D860"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Програми преко Развојне агенције Србије (РАС):</w:t>
      </w:r>
      <w:r w:rsidRPr="005B0548">
        <w:rPr>
          <w:rFonts w:cs="Calibri"/>
          <w:lang w:eastAsia="en-GB"/>
        </w:rPr>
        <w:t xml:space="preserve"> РАС дистрибуира средства из фондова ЕУ крајњим корисницима преко одабраних банака, пружајући финансијску подршку МСП-овима за различите пројекте. Више информација о овим могућностима може се наћи на њиховом званичном сајту</w:t>
      </w:r>
      <w:r w:rsidRPr="005B0548">
        <w:rPr>
          <w:rStyle w:val="FootnoteReference"/>
          <w:rFonts w:cs="Calibri"/>
          <w:lang w:eastAsia="en-GB"/>
        </w:rPr>
        <w:footnoteReference w:id="7"/>
      </w:r>
      <w:r w:rsidRPr="005B0548">
        <w:rPr>
          <w:rFonts w:cs="Calibri"/>
          <w:lang w:eastAsia="en-GB"/>
        </w:rPr>
        <w:t>. ​</w:t>
      </w:r>
    </w:p>
    <w:p w14:paraId="4723C86C"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Европска мрежа предузетништва (</w:t>
      </w:r>
      <w:proofErr w:type="spellStart"/>
      <w:r w:rsidRPr="005B0548">
        <w:rPr>
          <w:rFonts w:cs="Calibri"/>
          <w:b/>
          <w:lang w:eastAsia="en-GB"/>
        </w:rPr>
        <w:t>Enterprise</w:t>
      </w:r>
      <w:proofErr w:type="spellEnd"/>
      <w:r w:rsidRPr="005B0548">
        <w:rPr>
          <w:rFonts w:cs="Calibri"/>
          <w:b/>
          <w:lang w:eastAsia="en-GB"/>
        </w:rPr>
        <w:t xml:space="preserve"> </w:t>
      </w:r>
      <w:proofErr w:type="spellStart"/>
      <w:r w:rsidRPr="005B0548">
        <w:rPr>
          <w:rFonts w:cs="Calibri"/>
          <w:b/>
          <w:lang w:eastAsia="en-GB"/>
        </w:rPr>
        <w:t>Europe</w:t>
      </w:r>
      <w:proofErr w:type="spellEnd"/>
      <w:r w:rsidRPr="005B0548">
        <w:rPr>
          <w:rFonts w:cs="Calibri"/>
          <w:b/>
          <w:lang w:eastAsia="en-GB"/>
        </w:rPr>
        <w:t xml:space="preserve"> </w:t>
      </w:r>
      <w:proofErr w:type="spellStart"/>
      <w:r w:rsidRPr="005B0548">
        <w:rPr>
          <w:rFonts w:cs="Calibri"/>
          <w:b/>
          <w:lang w:eastAsia="en-GB"/>
        </w:rPr>
        <w:t>Network</w:t>
      </w:r>
      <w:proofErr w:type="spellEnd"/>
      <w:r w:rsidRPr="005B0548">
        <w:rPr>
          <w:rFonts w:cs="Calibri"/>
          <w:b/>
          <w:lang w:eastAsia="en-GB"/>
        </w:rPr>
        <w:t xml:space="preserve"> - EEN</w:t>
      </w:r>
      <w:r w:rsidRPr="005B0548">
        <w:rPr>
          <w:rFonts w:cs="Calibri"/>
          <w:lang w:eastAsia="en-GB"/>
        </w:rPr>
        <w:t>): EEN пружа подршку МСП-овима у проналажењу пословних партнера, приступу новим тржиштима и саветовању о финансијским могућностима. МСП-ови могу искористити ову мрежу за ширење свог пословања и приступ новим приликама.​</w:t>
      </w:r>
    </w:p>
    <w:p w14:paraId="42CCA04A" w14:textId="77777777" w:rsidR="005F6900" w:rsidRPr="005B0548" w:rsidRDefault="005F6900" w:rsidP="005F6900">
      <w:pPr>
        <w:spacing w:before="100" w:beforeAutospacing="1" w:after="100" w:afterAutospacing="1"/>
        <w:jc w:val="both"/>
        <w:rPr>
          <w:rFonts w:cs="Calibri"/>
          <w:lang w:eastAsia="en-GB"/>
        </w:rPr>
      </w:pPr>
      <w:r w:rsidRPr="005B0548">
        <w:rPr>
          <w:rFonts w:cs="Calibri"/>
          <w:b/>
          <w:lang w:eastAsia="en-GB"/>
        </w:rPr>
        <w:t>Инструмент ЕУ за претприступну помоћ развоју руралних региона (ИПАРД):</w:t>
      </w:r>
      <w:r w:rsidRPr="005B0548">
        <w:rPr>
          <w:rFonts w:cs="Calibri"/>
          <w:lang w:eastAsia="en-GB"/>
        </w:rPr>
        <w:t xml:space="preserve"> Програм ИПАРД (Инструмент за претприступну помоћ руралном развоју) представља одличну прилику за мала и средња предузећа да унапреде своје пословање и истовремено допринесу заштити животне средине. ИПАРД субвенције покривају до 50% укупних прихватљивих трошкова инвестиције, а за улагања у управљање отпадом, отпадним водама, производњу и складиштење енергије из обновљивих извора или друге пројекте из области циркуларне економије, подршка се увећава за додатних 10%. МСП из прехрамбене индустрије која улажу у прераду и маркетинг пољопривредних производа и производа рибарства могу добити субвенције у висини до 60% укупне вредности инвестиције. Средства се додељују путем јавних позива, а програм је доступан предузећима у Србији и Северној Македонији.</w:t>
      </w:r>
    </w:p>
    <w:p w14:paraId="3F2E148B" w14:textId="5813A6BE" w:rsidR="005F6900" w:rsidRPr="005B0548" w:rsidRDefault="0028626A" w:rsidP="005F6900">
      <w:pPr>
        <w:spacing w:before="100" w:beforeAutospacing="1" w:after="100" w:afterAutospacing="1"/>
        <w:jc w:val="both"/>
        <w:rPr>
          <w:rFonts w:cs="Calibri"/>
          <w:lang w:eastAsia="en-GB"/>
        </w:rPr>
      </w:pPr>
      <w:r>
        <w:rPr>
          <w:rFonts w:cs="Calibri"/>
          <w:b/>
          <w:lang w:eastAsia="en-GB"/>
        </w:rPr>
        <w:t>Interreg</w:t>
      </w:r>
      <w:r w:rsidR="005F6900" w:rsidRPr="005B0548">
        <w:rPr>
          <w:rFonts w:cs="Calibri"/>
          <w:b/>
          <w:lang w:eastAsia="en-GB"/>
        </w:rPr>
        <w:t xml:space="preserve"> VI-А) ИПА програма Бугарска – Србија 2021 – 2027</w:t>
      </w:r>
      <w:r w:rsidR="005F6900" w:rsidRPr="005B0548">
        <w:rPr>
          <w:rStyle w:val="FootnoteReference"/>
          <w:rFonts w:cs="Calibri"/>
          <w:b/>
          <w:lang w:eastAsia="en-GB"/>
        </w:rPr>
        <w:footnoteReference w:id="8"/>
      </w:r>
      <w:r w:rsidR="005F6900" w:rsidRPr="005B0548">
        <w:rPr>
          <w:rFonts w:cs="Calibri"/>
          <w:b/>
          <w:lang w:eastAsia="en-GB"/>
        </w:rPr>
        <w:t xml:space="preserve"> : </w:t>
      </w:r>
      <w:r w:rsidR="005F6900" w:rsidRPr="005B0548">
        <w:rPr>
          <w:rFonts w:cs="Calibri"/>
          <w:lang w:eastAsia="en-GB"/>
        </w:rPr>
        <w:t xml:space="preserve">У оквиру овог програма и приоритета 1: Конкурентни прекогранични регион са специфичним циљем РСО1.3. „Промовисање одрживог раста и конкурентности малих и средњих предузећа и отварање нових радних места у малим и средњим предузећима, укључујући продуктивне инвестиције“, МСП имају могућност да кроз сарадњу са партнерским МСП из Бугарске унапреде своје пословање. </w:t>
      </w:r>
    </w:p>
    <w:p w14:paraId="02665B8E" w14:textId="70EABA86" w:rsidR="005F6900" w:rsidRPr="005B0548" w:rsidRDefault="005F6900" w:rsidP="005F6900">
      <w:pPr>
        <w:spacing w:before="100" w:beforeAutospacing="1" w:after="100" w:afterAutospacing="1"/>
        <w:jc w:val="both"/>
        <w:rPr>
          <w:rFonts w:cs="Calibri"/>
          <w:b/>
          <w:lang w:eastAsia="en-GB"/>
        </w:rPr>
      </w:pPr>
      <w:r w:rsidRPr="005B0548">
        <w:rPr>
          <w:rFonts w:cs="Calibri"/>
          <w:b/>
          <w:lang w:eastAsia="en-GB"/>
        </w:rPr>
        <w:t>Локалне банке и лизинг компаније</w:t>
      </w:r>
      <w:r w:rsidRPr="005B0548">
        <w:rPr>
          <w:rFonts w:cs="Calibri"/>
          <w:lang w:eastAsia="en-GB"/>
        </w:rPr>
        <w:t xml:space="preserve">: Многе локалне банке и лизинг компаније, као што су </w:t>
      </w:r>
      <w:proofErr w:type="spellStart"/>
      <w:r w:rsidRPr="005B0548">
        <w:rPr>
          <w:rFonts w:cs="Calibri"/>
          <w:lang w:eastAsia="en-GB"/>
        </w:rPr>
        <w:t>Banca</w:t>
      </w:r>
      <w:proofErr w:type="spellEnd"/>
      <w:r w:rsidRPr="005B0548">
        <w:rPr>
          <w:rFonts w:cs="Calibri"/>
          <w:lang w:eastAsia="en-GB"/>
        </w:rPr>
        <w:t xml:space="preserve"> </w:t>
      </w:r>
      <w:proofErr w:type="spellStart"/>
      <w:r w:rsidRPr="005B0548">
        <w:rPr>
          <w:rFonts w:cs="Calibri"/>
          <w:lang w:eastAsia="en-GB"/>
        </w:rPr>
        <w:t>Intesa</w:t>
      </w:r>
      <w:proofErr w:type="spellEnd"/>
      <w:r w:rsidRPr="005B0548">
        <w:rPr>
          <w:rFonts w:cs="Calibri"/>
          <w:lang w:eastAsia="en-GB"/>
        </w:rPr>
        <w:t xml:space="preserve">, </w:t>
      </w:r>
      <w:proofErr w:type="spellStart"/>
      <w:r w:rsidRPr="005B0548">
        <w:rPr>
          <w:rFonts w:cs="Calibri"/>
          <w:lang w:eastAsia="en-GB"/>
        </w:rPr>
        <w:t>Erste</w:t>
      </w:r>
      <w:proofErr w:type="spellEnd"/>
      <w:r w:rsidRPr="005B0548">
        <w:rPr>
          <w:rFonts w:cs="Calibri"/>
          <w:lang w:eastAsia="en-GB"/>
        </w:rPr>
        <w:t xml:space="preserve"> </w:t>
      </w:r>
      <w:proofErr w:type="spellStart"/>
      <w:r w:rsidRPr="005B0548">
        <w:rPr>
          <w:rFonts w:cs="Calibri"/>
          <w:lang w:eastAsia="en-GB"/>
        </w:rPr>
        <w:t>Bank</w:t>
      </w:r>
      <w:proofErr w:type="spellEnd"/>
      <w:r w:rsidRPr="005B0548">
        <w:rPr>
          <w:rFonts w:cs="Calibri"/>
          <w:lang w:eastAsia="en-GB"/>
        </w:rPr>
        <w:t xml:space="preserve"> и </w:t>
      </w:r>
      <w:proofErr w:type="spellStart"/>
      <w:r w:rsidRPr="005B0548">
        <w:rPr>
          <w:rFonts w:cs="Calibri"/>
          <w:lang w:eastAsia="en-GB"/>
        </w:rPr>
        <w:t>UniCredit</w:t>
      </w:r>
      <w:proofErr w:type="spellEnd"/>
      <w:r w:rsidRPr="005B0548">
        <w:rPr>
          <w:rFonts w:cs="Calibri"/>
          <w:lang w:eastAsia="en-GB"/>
        </w:rPr>
        <w:t xml:space="preserve"> </w:t>
      </w:r>
      <w:proofErr w:type="spellStart"/>
      <w:r w:rsidRPr="005B0548">
        <w:rPr>
          <w:rFonts w:cs="Calibri"/>
          <w:lang w:eastAsia="en-GB"/>
        </w:rPr>
        <w:t>Bank</w:t>
      </w:r>
      <w:proofErr w:type="spellEnd"/>
      <w:r w:rsidRPr="005B0548">
        <w:rPr>
          <w:rFonts w:cs="Calibri"/>
          <w:lang w:eastAsia="en-GB"/>
        </w:rPr>
        <w:t>, нуде специјализоване кредитне линије и лизинг аранжмане за финансирање зелених пројеката. Ови инструменти су често подржани од стране међународних финансијских институција и пружају повољне услове за МСП која желе да инвестирају у одрживе технологије.​</w:t>
      </w:r>
      <w:r w:rsidR="0028626A">
        <w:rPr>
          <w:rFonts w:cs="Calibri"/>
          <w:lang w:eastAsia="en-GB"/>
        </w:rPr>
        <w:t xml:space="preserve"> </w:t>
      </w:r>
      <w:r w:rsidRPr="005B0548">
        <w:rPr>
          <w:rFonts w:cs="Calibri"/>
          <w:lang w:eastAsia="en-GB"/>
        </w:rPr>
        <w:t>МСП се подстичу да истраже ове могућности и ступе у контакт са наведеним институцијама како би добила детаљније информације о условима финансирања и подршци која је доступна за њихове специфичне потребе у процесу озелењавања пословања</w:t>
      </w:r>
      <w:r w:rsidRPr="005B0548">
        <w:rPr>
          <w:rFonts w:cs="Calibri"/>
          <w:b/>
          <w:lang w:eastAsia="en-GB"/>
        </w:rPr>
        <w:t xml:space="preserve">. </w:t>
      </w:r>
      <w:r w:rsidRPr="005B0548">
        <w:rPr>
          <w:rFonts w:cs="Calibri"/>
          <w:lang w:eastAsia="en-GB"/>
        </w:rPr>
        <w:t xml:space="preserve">Да би се пријавили за ове програме, МСП- треба да прате званичне позиве за подношење предлога пројеката, који се објављују на Порталу за финансирање и тендере Европске комисије. Сваки позив садржи детаљне информације о условима, критеријумима подобности и начину пријављивања.​ Препоручује се да МСП-ови редовно прате ове изворе и консултују се са стручњацима или релевантним институцијама како би осигурали успешну пријаву и искористили доступне могућности финансирања. </w:t>
      </w:r>
    </w:p>
    <w:p w14:paraId="2BD3118E"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lastRenderedPageBreak/>
        <w:t xml:space="preserve">Мала и средња предузећа у Србији могу да се ослоне на више институција и организација које пружају подршку у различитим фазама развоја пословања. Развојна агенција Србије (РАС) представља кључну институцију за финансијску подршку, саветовање и промоцију извоза. Фонд за развој Републике Србије нуди повољне кредите за набавку опреме и улагање у проширење производње. Европска мрежа предузетништва (EEN) помаже МСП-овима да пронађу пословне партнере у ЕУ и приступе новим тржиштима, док Привредна комора Србије (ПКС) нуди едукације, умрежавање и стручну помоћ у тумачењу прописа и стандарда. Такође, широм земље делују регионалне развојне агенције и инкубатори, технолошки паркови који пружају локалну подршку, менторство и техничку помоћ. Ове организације играју кључну улогу у јачању капацитета МСП сектора и његовој већој спремности за домаће и међународне конкурсе и тржишта. Мапу организација подршке у Србији можете пронаћи на следећем линку </w:t>
      </w:r>
      <w:hyperlink r:id="rId8" w:history="1">
        <w:r w:rsidRPr="005B0548">
          <w:rPr>
            <w:rStyle w:val="Hyperlink"/>
            <w:rFonts w:cs="Calibri"/>
            <w:lang w:eastAsia="en-GB"/>
          </w:rPr>
          <w:t>https://preduzetnistvo.gov.rs/mapa/</w:t>
        </w:r>
      </w:hyperlink>
      <w:r w:rsidRPr="005B0548">
        <w:rPr>
          <w:rFonts w:cs="Calibri"/>
          <w:lang w:eastAsia="en-GB"/>
        </w:rPr>
        <w:t xml:space="preserve">  Доступне програме подршке МСП могу пронаћи на </w:t>
      </w:r>
      <w:hyperlink r:id="rId9" w:history="1">
        <w:r w:rsidRPr="005B0548">
          <w:rPr>
            <w:rStyle w:val="Hyperlink"/>
            <w:rFonts w:cs="Calibri"/>
            <w:lang w:eastAsia="en-GB"/>
          </w:rPr>
          <w:t>https://preduzetnistvo.gov.rs/programi-podrske/</w:t>
        </w:r>
      </w:hyperlink>
      <w:r w:rsidRPr="005B0548">
        <w:rPr>
          <w:rFonts w:cs="Calibri"/>
          <w:lang w:eastAsia="en-GB"/>
        </w:rPr>
        <w:t xml:space="preserve"> </w:t>
      </w:r>
    </w:p>
    <w:p w14:paraId="5B554C8E" w14:textId="77777777" w:rsidR="005F6900" w:rsidRPr="005B0548" w:rsidRDefault="005F6900" w:rsidP="005F6900">
      <w:pPr>
        <w:spacing w:before="100" w:beforeAutospacing="1" w:after="100" w:afterAutospacing="1"/>
        <w:jc w:val="both"/>
        <w:rPr>
          <w:rFonts w:cs="Calibri"/>
          <w:lang w:eastAsia="en-GB"/>
        </w:rPr>
      </w:pPr>
      <w:r w:rsidRPr="005B0548">
        <w:rPr>
          <w:rFonts w:cs="Calibri"/>
          <w:lang w:eastAsia="en-GB"/>
        </w:rPr>
        <w:t xml:space="preserve">Приказ извора финансирања са контакт адресама дат у документу </w:t>
      </w:r>
      <w:r w:rsidRPr="005B0548">
        <w:rPr>
          <w:rFonts w:cs="Calibri"/>
          <w:b/>
          <w:lang w:eastAsia="en-GB"/>
        </w:rPr>
        <w:t xml:space="preserve">Преглед извора финансирања намењен малим и средњим предузећима и предузетницима </w:t>
      </w:r>
      <w:r w:rsidRPr="005B0548">
        <w:rPr>
          <w:rFonts w:cs="Calibri"/>
          <w:lang w:eastAsia="en-GB"/>
        </w:rPr>
        <w:t>који се налази у прилогу овог документа</w:t>
      </w:r>
    </w:p>
    <w:p w14:paraId="7266B781" w14:textId="77777777" w:rsidR="005F6900" w:rsidRPr="005B0548" w:rsidRDefault="005F6900" w:rsidP="005F6900">
      <w:pPr>
        <w:rPr>
          <w:rFonts w:asciiTheme="minorHAnsi" w:hAnsiTheme="minorHAnsi"/>
        </w:rPr>
      </w:pPr>
    </w:p>
    <w:p w14:paraId="0E793696" w14:textId="596B7320" w:rsidR="005F6900" w:rsidRPr="00E524F9" w:rsidRDefault="005F6900" w:rsidP="005F6900">
      <w:pPr>
        <w:pStyle w:val="Heading1"/>
        <w:spacing w:before="0" w:after="0"/>
        <w:rPr>
          <w:rFonts w:asciiTheme="minorHAnsi" w:hAnsiTheme="minorHAnsi" w:cstheme="minorHAnsi"/>
          <w:b/>
          <w:bCs/>
          <w:color w:val="17365D" w:themeColor="text2" w:themeShade="BF"/>
          <w:sz w:val="22"/>
          <w:szCs w:val="22"/>
        </w:rPr>
      </w:pPr>
      <w:bookmarkStart w:id="14" w:name="_Toc195167995"/>
      <w:r w:rsidRPr="00E524F9">
        <w:rPr>
          <w:rFonts w:asciiTheme="minorHAnsi" w:hAnsiTheme="minorHAnsi" w:cstheme="minorHAnsi"/>
          <w:b/>
          <w:bCs/>
          <w:color w:val="17365D" w:themeColor="text2" w:themeShade="BF"/>
          <w:sz w:val="22"/>
          <w:szCs w:val="22"/>
        </w:rPr>
        <w:t xml:space="preserve">5. </w:t>
      </w:r>
      <w:r w:rsidR="00E524F9" w:rsidRPr="00E524F9">
        <w:rPr>
          <w:rFonts w:asciiTheme="minorHAnsi" w:hAnsiTheme="minorHAnsi" w:cstheme="minorHAnsi"/>
          <w:b/>
          <w:bCs/>
          <w:color w:val="17365D" w:themeColor="text2" w:themeShade="BF"/>
          <w:sz w:val="22"/>
          <w:szCs w:val="22"/>
        </w:rPr>
        <w:t>Извори и ресурси</w:t>
      </w:r>
      <w:bookmarkEnd w:id="14"/>
    </w:p>
    <w:p w14:paraId="5B2FC393" w14:textId="77777777" w:rsidR="005F6900" w:rsidRPr="005B0548" w:rsidRDefault="005F6900" w:rsidP="005F6900"/>
    <w:p w14:paraId="526EC940" w14:textId="77777777" w:rsidR="005F6900" w:rsidRPr="005B0548" w:rsidRDefault="005F6900" w:rsidP="005F6900">
      <w:pPr>
        <w:pStyle w:val="ListParagraph"/>
        <w:numPr>
          <w:ilvl w:val="0"/>
          <w:numId w:val="34"/>
        </w:numPr>
        <w:jc w:val="both"/>
      </w:pPr>
      <w:r w:rsidRPr="005B0548">
        <w:t>Министарство за заштиту животне средине Републике Србије. "Национална стратегија за одрживи развој" (2021).</w:t>
      </w:r>
    </w:p>
    <w:p w14:paraId="7F2B76D6" w14:textId="77777777" w:rsidR="005F6900" w:rsidRPr="005B0548" w:rsidRDefault="005F6900" w:rsidP="005F6900">
      <w:pPr>
        <w:pStyle w:val="ListParagraph"/>
        <w:numPr>
          <w:ilvl w:val="0"/>
          <w:numId w:val="34"/>
        </w:numPr>
        <w:jc w:val="both"/>
      </w:pPr>
      <w:proofErr w:type="spellStart"/>
      <w:r w:rsidRPr="005B0548">
        <w:t>European</w:t>
      </w:r>
      <w:proofErr w:type="spellEnd"/>
      <w:r w:rsidRPr="005B0548">
        <w:t xml:space="preserve"> </w:t>
      </w:r>
      <w:proofErr w:type="spellStart"/>
      <w:r w:rsidRPr="005B0548">
        <w:t>Small</w:t>
      </w:r>
      <w:proofErr w:type="spellEnd"/>
      <w:r w:rsidRPr="005B0548">
        <w:t xml:space="preserve"> Business </w:t>
      </w:r>
      <w:proofErr w:type="spellStart"/>
      <w:r w:rsidRPr="005B0548">
        <w:t>Alliance</w:t>
      </w:r>
      <w:proofErr w:type="spellEnd"/>
      <w:r w:rsidRPr="005B0548">
        <w:t xml:space="preserve"> (ESBA). "</w:t>
      </w:r>
      <w:proofErr w:type="spellStart"/>
      <w:r w:rsidRPr="005B0548">
        <w:t>Sustainable</w:t>
      </w:r>
      <w:proofErr w:type="spellEnd"/>
      <w:r w:rsidRPr="005B0548">
        <w:t xml:space="preserve"> Business </w:t>
      </w:r>
      <w:proofErr w:type="spellStart"/>
      <w:r w:rsidRPr="005B0548">
        <w:t>Practices</w:t>
      </w:r>
      <w:proofErr w:type="spellEnd"/>
      <w:r w:rsidRPr="005B0548">
        <w:t xml:space="preserve"> </w:t>
      </w:r>
      <w:proofErr w:type="spellStart"/>
      <w:r w:rsidRPr="005B0548">
        <w:t>for</w:t>
      </w:r>
      <w:proofErr w:type="spellEnd"/>
      <w:r w:rsidRPr="005B0548">
        <w:t xml:space="preserve"> </w:t>
      </w:r>
      <w:proofErr w:type="spellStart"/>
      <w:r w:rsidRPr="005B0548">
        <w:t>SMEs</w:t>
      </w:r>
      <w:proofErr w:type="spellEnd"/>
      <w:r w:rsidRPr="005B0548">
        <w:t>" (2020).</w:t>
      </w:r>
    </w:p>
    <w:p w14:paraId="417AE0BC" w14:textId="77777777" w:rsidR="005F6900" w:rsidRPr="005B0548" w:rsidRDefault="005F6900" w:rsidP="005F6900">
      <w:pPr>
        <w:pStyle w:val="ListParagraph"/>
        <w:numPr>
          <w:ilvl w:val="0"/>
          <w:numId w:val="34"/>
        </w:numPr>
        <w:jc w:val="both"/>
      </w:pPr>
      <w:r w:rsidRPr="005B0548">
        <w:t>OECD (</w:t>
      </w:r>
      <w:proofErr w:type="spellStart"/>
      <w:r w:rsidRPr="005B0548">
        <w:t>Organisation</w:t>
      </w:r>
      <w:proofErr w:type="spellEnd"/>
      <w:r w:rsidRPr="005B0548">
        <w:t xml:space="preserve"> </w:t>
      </w:r>
      <w:proofErr w:type="spellStart"/>
      <w:r w:rsidRPr="005B0548">
        <w:t>for</w:t>
      </w:r>
      <w:proofErr w:type="spellEnd"/>
      <w:r w:rsidRPr="005B0548">
        <w:t xml:space="preserve"> </w:t>
      </w:r>
      <w:proofErr w:type="spellStart"/>
      <w:r w:rsidRPr="005B0548">
        <w:t>Economic</w:t>
      </w:r>
      <w:proofErr w:type="spellEnd"/>
      <w:r w:rsidRPr="005B0548">
        <w:t xml:space="preserve"> </w:t>
      </w:r>
      <w:proofErr w:type="spellStart"/>
      <w:r w:rsidRPr="005B0548">
        <w:t>Co-operation</w:t>
      </w:r>
      <w:proofErr w:type="spellEnd"/>
      <w:r w:rsidRPr="005B0548">
        <w:t xml:space="preserve"> </w:t>
      </w:r>
      <w:proofErr w:type="spellStart"/>
      <w:r w:rsidRPr="005B0548">
        <w:t>and</w:t>
      </w:r>
      <w:proofErr w:type="spellEnd"/>
      <w:r w:rsidRPr="005B0548">
        <w:t xml:space="preserve"> </w:t>
      </w:r>
      <w:proofErr w:type="spellStart"/>
      <w:r w:rsidRPr="005B0548">
        <w:t>Development</w:t>
      </w:r>
      <w:proofErr w:type="spellEnd"/>
      <w:r w:rsidRPr="005B0548">
        <w:t>). "</w:t>
      </w:r>
      <w:proofErr w:type="spellStart"/>
      <w:r w:rsidRPr="005B0548">
        <w:t>Green</w:t>
      </w:r>
      <w:proofErr w:type="spellEnd"/>
      <w:r w:rsidRPr="005B0548">
        <w:t xml:space="preserve"> </w:t>
      </w:r>
      <w:proofErr w:type="spellStart"/>
      <w:r w:rsidRPr="005B0548">
        <w:t>Growth</w:t>
      </w:r>
      <w:proofErr w:type="spellEnd"/>
      <w:r w:rsidRPr="005B0548">
        <w:t xml:space="preserve"> </w:t>
      </w:r>
      <w:proofErr w:type="spellStart"/>
      <w:r w:rsidRPr="005B0548">
        <w:t>and</w:t>
      </w:r>
      <w:proofErr w:type="spellEnd"/>
      <w:r w:rsidRPr="005B0548">
        <w:t xml:space="preserve"> </w:t>
      </w:r>
      <w:proofErr w:type="spellStart"/>
      <w:r w:rsidRPr="005B0548">
        <w:t>Sustainable</w:t>
      </w:r>
      <w:proofErr w:type="spellEnd"/>
      <w:r w:rsidRPr="005B0548">
        <w:t xml:space="preserve"> </w:t>
      </w:r>
      <w:proofErr w:type="spellStart"/>
      <w:r w:rsidRPr="005B0548">
        <w:t>Development</w:t>
      </w:r>
      <w:proofErr w:type="spellEnd"/>
      <w:r w:rsidRPr="005B0548">
        <w:t>" (2019).</w:t>
      </w:r>
    </w:p>
    <w:p w14:paraId="220C62D7" w14:textId="77777777" w:rsidR="005F6900" w:rsidRPr="005B0548" w:rsidRDefault="005F6900" w:rsidP="005F6900">
      <w:pPr>
        <w:pStyle w:val="ListParagraph"/>
        <w:numPr>
          <w:ilvl w:val="0"/>
          <w:numId w:val="34"/>
        </w:numPr>
        <w:jc w:val="both"/>
      </w:pPr>
      <w:r w:rsidRPr="005B0548">
        <w:t xml:space="preserve">Европска комисија. "EU </w:t>
      </w:r>
      <w:proofErr w:type="spellStart"/>
      <w:r w:rsidRPr="005B0548">
        <w:t>Taxonomy</w:t>
      </w:r>
      <w:proofErr w:type="spellEnd"/>
      <w:r w:rsidRPr="005B0548">
        <w:t xml:space="preserve"> </w:t>
      </w:r>
      <w:proofErr w:type="spellStart"/>
      <w:r w:rsidRPr="005B0548">
        <w:t>for</w:t>
      </w:r>
      <w:proofErr w:type="spellEnd"/>
      <w:r w:rsidRPr="005B0548">
        <w:t xml:space="preserve"> </w:t>
      </w:r>
      <w:proofErr w:type="spellStart"/>
      <w:r w:rsidRPr="005B0548">
        <w:t>sustainable</w:t>
      </w:r>
      <w:proofErr w:type="spellEnd"/>
      <w:r w:rsidRPr="005B0548">
        <w:t xml:space="preserve"> </w:t>
      </w:r>
      <w:proofErr w:type="spellStart"/>
      <w:r w:rsidRPr="005B0548">
        <w:t>activities</w:t>
      </w:r>
      <w:proofErr w:type="spellEnd"/>
      <w:r w:rsidRPr="005B0548">
        <w:t>" (2020).</w:t>
      </w:r>
    </w:p>
    <w:p w14:paraId="5038A414" w14:textId="77777777" w:rsidR="005F6900" w:rsidRPr="005B0548" w:rsidRDefault="005F6900" w:rsidP="005F6900">
      <w:pPr>
        <w:pStyle w:val="ListParagraph"/>
        <w:numPr>
          <w:ilvl w:val="0"/>
          <w:numId w:val="34"/>
        </w:numPr>
        <w:jc w:val="both"/>
      </w:pPr>
      <w:proofErr w:type="spellStart"/>
      <w:r w:rsidRPr="005B0548">
        <w:t>Principles</w:t>
      </w:r>
      <w:proofErr w:type="spellEnd"/>
      <w:r w:rsidRPr="005B0548">
        <w:t xml:space="preserve"> </w:t>
      </w:r>
      <w:proofErr w:type="spellStart"/>
      <w:r w:rsidRPr="005B0548">
        <w:t>for</w:t>
      </w:r>
      <w:proofErr w:type="spellEnd"/>
      <w:r w:rsidRPr="005B0548">
        <w:t xml:space="preserve"> </w:t>
      </w:r>
      <w:proofErr w:type="spellStart"/>
      <w:r w:rsidRPr="005B0548">
        <w:t>Responsible</w:t>
      </w:r>
      <w:proofErr w:type="spellEnd"/>
      <w:r w:rsidRPr="005B0548">
        <w:t xml:space="preserve"> </w:t>
      </w:r>
      <w:proofErr w:type="spellStart"/>
      <w:r w:rsidRPr="005B0548">
        <w:t>Investment</w:t>
      </w:r>
      <w:proofErr w:type="spellEnd"/>
      <w:r w:rsidRPr="005B0548">
        <w:t xml:space="preserve"> (PRI). "</w:t>
      </w:r>
      <w:proofErr w:type="spellStart"/>
      <w:r w:rsidRPr="005B0548">
        <w:t>The</w:t>
      </w:r>
      <w:proofErr w:type="spellEnd"/>
      <w:r w:rsidRPr="005B0548">
        <w:t xml:space="preserve"> </w:t>
      </w:r>
      <w:proofErr w:type="spellStart"/>
      <w:r w:rsidRPr="005B0548">
        <w:t>Principles</w:t>
      </w:r>
      <w:proofErr w:type="spellEnd"/>
      <w:r w:rsidRPr="005B0548">
        <w:t xml:space="preserve"> </w:t>
      </w:r>
      <w:proofErr w:type="spellStart"/>
      <w:r w:rsidRPr="005B0548">
        <w:t>for</w:t>
      </w:r>
      <w:proofErr w:type="spellEnd"/>
      <w:r w:rsidRPr="005B0548">
        <w:t xml:space="preserve"> </w:t>
      </w:r>
      <w:proofErr w:type="spellStart"/>
      <w:r w:rsidRPr="005B0548">
        <w:t>Responsible</w:t>
      </w:r>
      <w:proofErr w:type="spellEnd"/>
      <w:r w:rsidRPr="005B0548">
        <w:t xml:space="preserve"> </w:t>
      </w:r>
      <w:proofErr w:type="spellStart"/>
      <w:r w:rsidRPr="005B0548">
        <w:t>Investment</w:t>
      </w:r>
      <w:proofErr w:type="spellEnd"/>
      <w:r w:rsidRPr="005B0548">
        <w:t>" (2019).</w:t>
      </w:r>
    </w:p>
    <w:p w14:paraId="27FB622B" w14:textId="77777777" w:rsidR="005F6900" w:rsidRPr="005B0548" w:rsidRDefault="005F6900" w:rsidP="005F6900">
      <w:pPr>
        <w:pStyle w:val="ListParagraph"/>
        <w:numPr>
          <w:ilvl w:val="0"/>
          <w:numId w:val="34"/>
        </w:numPr>
        <w:jc w:val="both"/>
      </w:pPr>
      <w:proofErr w:type="spellStart"/>
      <w:r w:rsidRPr="005B0548">
        <w:t>World</w:t>
      </w:r>
      <w:proofErr w:type="spellEnd"/>
      <w:r w:rsidRPr="005B0548">
        <w:t xml:space="preserve"> </w:t>
      </w:r>
      <w:proofErr w:type="spellStart"/>
      <w:r w:rsidRPr="005B0548">
        <w:t>Bank</w:t>
      </w:r>
      <w:proofErr w:type="spellEnd"/>
      <w:r w:rsidRPr="005B0548">
        <w:t xml:space="preserve"> </w:t>
      </w:r>
      <w:proofErr w:type="spellStart"/>
      <w:r w:rsidRPr="005B0548">
        <w:t>Group</w:t>
      </w:r>
      <w:proofErr w:type="spellEnd"/>
      <w:r w:rsidRPr="005B0548">
        <w:t>. "</w:t>
      </w:r>
      <w:proofErr w:type="spellStart"/>
      <w:r w:rsidRPr="005B0548">
        <w:t>Green</w:t>
      </w:r>
      <w:proofErr w:type="spellEnd"/>
      <w:r w:rsidRPr="005B0548">
        <w:t xml:space="preserve"> </w:t>
      </w:r>
      <w:proofErr w:type="spellStart"/>
      <w:r w:rsidRPr="005B0548">
        <w:t>Finance</w:t>
      </w:r>
      <w:proofErr w:type="spellEnd"/>
      <w:r w:rsidRPr="005B0548">
        <w:t xml:space="preserve">: A New </w:t>
      </w:r>
      <w:proofErr w:type="spellStart"/>
      <w:r w:rsidRPr="005B0548">
        <w:t>Way</w:t>
      </w:r>
      <w:proofErr w:type="spellEnd"/>
      <w:r w:rsidRPr="005B0548">
        <w:t xml:space="preserve"> </w:t>
      </w:r>
      <w:proofErr w:type="spellStart"/>
      <w:r w:rsidRPr="005B0548">
        <w:t>Forward</w:t>
      </w:r>
      <w:proofErr w:type="spellEnd"/>
      <w:r w:rsidRPr="005B0548">
        <w:t>" (2020).</w:t>
      </w:r>
    </w:p>
    <w:p w14:paraId="71F1C95C" w14:textId="77777777" w:rsidR="005F6900" w:rsidRPr="005B0548" w:rsidRDefault="005F6900" w:rsidP="005F6900">
      <w:pPr>
        <w:pStyle w:val="ListParagraph"/>
        <w:numPr>
          <w:ilvl w:val="0"/>
          <w:numId w:val="34"/>
        </w:numPr>
        <w:jc w:val="both"/>
      </w:pPr>
      <w:proofErr w:type="spellStart"/>
      <w:r w:rsidRPr="005B0548">
        <w:t>International</w:t>
      </w:r>
      <w:proofErr w:type="spellEnd"/>
      <w:r w:rsidRPr="005B0548">
        <w:t xml:space="preserve"> </w:t>
      </w:r>
      <w:proofErr w:type="spellStart"/>
      <w:r w:rsidRPr="005B0548">
        <w:t>Capital</w:t>
      </w:r>
      <w:proofErr w:type="spellEnd"/>
      <w:r w:rsidRPr="005B0548">
        <w:t xml:space="preserve"> </w:t>
      </w:r>
      <w:proofErr w:type="spellStart"/>
      <w:r w:rsidRPr="005B0548">
        <w:t>Market</w:t>
      </w:r>
      <w:proofErr w:type="spellEnd"/>
      <w:r w:rsidRPr="005B0548">
        <w:t xml:space="preserve"> </w:t>
      </w:r>
      <w:proofErr w:type="spellStart"/>
      <w:r w:rsidRPr="005B0548">
        <w:t>Association</w:t>
      </w:r>
      <w:proofErr w:type="spellEnd"/>
      <w:r w:rsidRPr="005B0548">
        <w:t xml:space="preserve"> (ICMA). "</w:t>
      </w:r>
      <w:proofErr w:type="spellStart"/>
      <w:r w:rsidRPr="005B0548">
        <w:t>Green</w:t>
      </w:r>
      <w:proofErr w:type="spellEnd"/>
      <w:r w:rsidRPr="005B0548">
        <w:t xml:space="preserve"> </w:t>
      </w:r>
      <w:proofErr w:type="spellStart"/>
      <w:r w:rsidRPr="005B0548">
        <w:t>Bond</w:t>
      </w:r>
      <w:proofErr w:type="spellEnd"/>
      <w:r w:rsidRPr="005B0548">
        <w:t xml:space="preserve"> </w:t>
      </w:r>
      <w:proofErr w:type="spellStart"/>
      <w:r w:rsidRPr="005B0548">
        <w:t>Principles</w:t>
      </w:r>
      <w:proofErr w:type="spellEnd"/>
      <w:r w:rsidRPr="005B0548">
        <w:t>" (2021).</w:t>
      </w:r>
    </w:p>
    <w:p w14:paraId="63C6C209" w14:textId="7F54A9EA" w:rsidR="005F6900" w:rsidRPr="005B0548" w:rsidRDefault="005F6900" w:rsidP="005F6900">
      <w:pPr>
        <w:pStyle w:val="ListParagraph"/>
        <w:numPr>
          <w:ilvl w:val="0"/>
          <w:numId w:val="34"/>
        </w:numPr>
        <w:jc w:val="both"/>
      </w:pPr>
      <w:proofErr w:type="spellStart"/>
      <w:r w:rsidRPr="005B0548">
        <w:t>Global</w:t>
      </w:r>
      <w:proofErr w:type="spellEnd"/>
      <w:r w:rsidRPr="005B0548">
        <w:t xml:space="preserve"> </w:t>
      </w:r>
      <w:proofErr w:type="spellStart"/>
      <w:r w:rsidRPr="005B0548">
        <w:t>Reporting</w:t>
      </w:r>
      <w:proofErr w:type="spellEnd"/>
      <w:r w:rsidRPr="005B0548">
        <w:t xml:space="preserve"> </w:t>
      </w:r>
      <w:proofErr w:type="spellStart"/>
      <w:r w:rsidRPr="005B0548">
        <w:t>Initiative</w:t>
      </w:r>
      <w:proofErr w:type="spellEnd"/>
      <w:r w:rsidRPr="005B0548">
        <w:t xml:space="preserve"> (GRI). "</w:t>
      </w:r>
      <w:proofErr w:type="spellStart"/>
      <w:r w:rsidRPr="005B0548">
        <w:t>Sustainability</w:t>
      </w:r>
      <w:proofErr w:type="spellEnd"/>
      <w:r w:rsidRPr="005B0548">
        <w:t xml:space="preserve"> </w:t>
      </w:r>
      <w:proofErr w:type="spellStart"/>
      <w:r w:rsidRPr="005B0548">
        <w:t>Reporting</w:t>
      </w:r>
      <w:proofErr w:type="spellEnd"/>
      <w:r w:rsidRPr="005B0548">
        <w:t xml:space="preserve"> </w:t>
      </w:r>
      <w:proofErr w:type="spellStart"/>
      <w:r w:rsidRPr="005B0548">
        <w:t>Standards</w:t>
      </w:r>
      <w:proofErr w:type="spellEnd"/>
      <w:r w:rsidRPr="005B0548">
        <w:t>" (2016).</w:t>
      </w:r>
    </w:p>
    <w:p w14:paraId="5B0EB799" w14:textId="77777777" w:rsidR="005F6900" w:rsidRPr="005B0548" w:rsidRDefault="005F6900" w:rsidP="005F6900">
      <w:pPr>
        <w:pStyle w:val="ListParagraph"/>
        <w:numPr>
          <w:ilvl w:val="0"/>
          <w:numId w:val="34"/>
        </w:numPr>
        <w:jc w:val="both"/>
      </w:pPr>
      <w:proofErr w:type="spellStart"/>
      <w:r w:rsidRPr="005B0548">
        <w:t>European</w:t>
      </w:r>
      <w:proofErr w:type="spellEnd"/>
      <w:r w:rsidRPr="005B0548">
        <w:t xml:space="preserve"> </w:t>
      </w:r>
      <w:proofErr w:type="spellStart"/>
      <w:r w:rsidRPr="005B0548">
        <w:t>Commission</w:t>
      </w:r>
      <w:proofErr w:type="spellEnd"/>
      <w:r w:rsidRPr="005B0548">
        <w:t xml:space="preserve"> – EU </w:t>
      </w:r>
      <w:proofErr w:type="spellStart"/>
      <w:r w:rsidRPr="005B0548">
        <w:t>Taxonomy</w:t>
      </w:r>
      <w:proofErr w:type="spellEnd"/>
      <w:r w:rsidRPr="005B0548">
        <w:t xml:space="preserve"> </w:t>
      </w:r>
      <w:proofErr w:type="spellStart"/>
      <w:r w:rsidRPr="005B0548">
        <w:t>Compass</w:t>
      </w:r>
      <w:proofErr w:type="spellEnd"/>
      <w:r w:rsidRPr="005B0548">
        <w:t>: https://finance.ec.europa.eu/eu-taxonomy-regulation</w:t>
      </w:r>
    </w:p>
    <w:p w14:paraId="5EA64ABD" w14:textId="77777777" w:rsidR="005F6900" w:rsidRPr="005B0548" w:rsidRDefault="005F6900" w:rsidP="005F6900">
      <w:pPr>
        <w:pStyle w:val="ListParagraph"/>
        <w:numPr>
          <w:ilvl w:val="0"/>
          <w:numId w:val="34"/>
        </w:numPr>
        <w:jc w:val="both"/>
      </w:pPr>
      <w:proofErr w:type="spellStart"/>
      <w:r w:rsidRPr="005B0548">
        <w:t>European</w:t>
      </w:r>
      <w:proofErr w:type="spellEnd"/>
      <w:r w:rsidRPr="005B0548">
        <w:t xml:space="preserve"> </w:t>
      </w:r>
      <w:proofErr w:type="spellStart"/>
      <w:r w:rsidRPr="005B0548">
        <w:t>Commission</w:t>
      </w:r>
      <w:proofErr w:type="spellEnd"/>
      <w:r w:rsidRPr="005B0548">
        <w:t xml:space="preserve"> – </w:t>
      </w:r>
      <w:proofErr w:type="spellStart"/>
      <w:r w:rsidRPr="005B0548">
        <w:t>Sustainable</w:t>
      </w:r>
      <w:proofErr w:type="spellEnd"/>
      <w:r w:rsidRPr="005B0548">
        <w:t xml:space="preserve"> </w:t>
      </w:r>
      <w:proofErr w:type="spellStart"/>
      <w:r w:rsidRPr="005B0548">
        <w:t>Finance</w:t>
      </w:r>
      <w:proofErr w:type="spellEnd"/>
      <w:r w:rsidRPr="005B0548">
        <w:t xml:space="preserve"> </w:t>
      </w:r>
      <w:proofErr w:type="spellStart"/>
      <w:r w:rsidRPr="005B0548">
        <w:t>Action</w:t>
      </w:r>
      <w:proofErr w:type="spellEnd"/>
      <w:r w:rsidRPr="005B0548">
        <w:t xml:space="preserve"> </w:t>
      </w:r>
      <w:proofErr w:type="spellStart"/>
      <w:r w:rsidRPr="005B0548">
        <w:t>Plan:https</w:t>
      </w:r>
      <w:proofErr w:type="spellEnd"/>
      <w:r w:rsidRPr="005B0548">
        <w:t>://finance.ec.europa.eu/</w:t>
      </w:r>
      <w:proofErr w:type="spellStart"/>
      <w:r w:rsidRPr="005B0548">
        <w:t>sustainable-finance</w:t>
      </w:r>
      <w:proofErr w:type="spellEnd"/>
    </w:p>
    <w:p w14:paraId="2C8E0C8D" w14:textId="77777777" w:rsidR="005F6900" w:rsidRPr="005B0548" w:rsidRDefault="005F6900" w:rsidP="005F6900">
      <w:pPr>
        <w:pStyle w:val="ListParagraph"/>
        <w:numPr>
          <w:ilvl w:val="0"/>
          <w:numId w:val="34"/>
        </w:numPr>
        <w:jc w:val="both"/>
      </w:pPr>
      <w:proofErr w:type="spellStart"/>
      <w:r w:rsidRPr="005B0548">
        <w:t>Official</w:t>
      </w:r>
      <w:proofErr w:type="spellEnd"/>
      <w:r w:rsidRPr="005B0548">
        <w:t xml:space="preserve"> </w:t>
      </w:r>
      <w:proofErr w:type="spellStart"/>
      <w:r w:rsidRPr="005B0548">
        <w:t>Journal</w:t>
      </w:r>
      <w:proofErr w:type="spellEnd"/>
      <w:r w:rsidRPr="005B0548">
        <w:t xml:space="preserve"> </w:t>
      </w:r>
      <w:proofErr w:type="spellStart"/>
      <w:r w:rsidRPr="005B0548">
        <w:t>of</w:t>
      </w:r>
      <w:proofErr w:type="spellEnd"/>
      <w:r w:rsidRPr="005B0548">
        <w:t xml:space="preserve"> </w:t>
      </w:r>
      <w:proofErr w:type="spellStart"/>
      <w:r w:rsidRPr="005B0548">
        <w:t>the</w:t>
      </w:r>
      <w:proofErr w:type="spellEnd"/>
      <w:r w:rsidRPr="005B0548">
        <w:t xml:space="preserve"> EU – EU </w:t>
      </w:r>
      <w:proofErr w:type="spellStart"/>
      <w:r w:rsidRPr="005B0548">
        <w:t>Taxonomy</w:t>
      </w:r>
      <w:proofErr w:type="spellEnd"/>
      <w:r w:rsidRPr="005B0548">
        <w:t xml:space="preserve"> </w:t>
      </w:r>
      <w:proofErr w:type="spellStart"/>
      <w:r w:rsidRPr="005B0548">
        <w:t>Regulation</w:t>
      </w:r>
      <w:proofErr w:type="spellEnd"/>
      <w:r w:rsidRPr="005B0548">
        <w:t xml:space="preserve"> (2020/852)</w:t>
      </w:r>
    </w:p>
    <w:p w14:paraId="60845988" w14:textId="77777777" w:rsidR="005F6900" w:rsidRPr="005B0548" w:rsidRDefault="005F6900" w:rsidP="005F6900">
      <w:pPr>
        <w:pStyle w:val="ListParagraph"/>
        <w:numPr>
          <w:ilvl w:val="0"/>
          <w:numId w:val="34"/>
        </w:numPr>
        <w:jc w:val="both"/>
      </w:pPr>
      <w:proofErr w:type="spellStart"/>
      <w:r w:rsidRPr="005B0548">
        <w:t>European</w:t>
      </w:r>
      <w:proofErr w:type="spellEnd"/>
      <w:r w:rsidRPr="005B0548">
        <w:t xml:space="preserve"> </w:t>
      </w:r>
      <w:proofErr w:type="spellStart"/>
      <w:r w:rsidRPr="005B0548">
        <w:t>Investment</w:t>
      </w:r>
      <w:proofErr w:type="spellEnd"/>
      <w:r w:rsidRPr="005B0548">
        <w:t xml:space="preserve"> </w:t>
      </w:r>
      <w:proofErr w:type="spellStart"/>
      <w:r w:rsidRPr="005B0548">
        <w:t>Bank</w:t>
      </w:r>
      <w:proofErr w:type="spellEnd"/>
      <w:r w:rsidRPr="005B0548">
        <w:t xml:space="preserve"> – </w:t>
      </w:r>
      <w:proofErr w:type="spellStart"/>
      <w:r w:rsidRPr="005B0548">
        <w:t>Green</w:t>
      </w:r>
      <w:proofErr w:type="spellEnd"/>
      <w:r w:rsidRPr="005B0548">
        <w:t xml:space="preserve"> </w:t>
      </w:r>
      <w:proofErr w:type="spellStart"/>
      <w:r w:rsidRPr="005B0548">
        <w:t>Finance</w:t>
      </w:r>
      <w:proofErr w:type="spellEnd"/>
      <w:r w:rsidRPr="005B0548">
        <w:t xml:space="preserve">. </w:t>
      </w:r>
    </w:p>
    <w:p w14:paraId="506BAE37" w14:textId="77777777" w:rsidR="005F6900" w:rsidRPr="005B0548" w:rsidRDefault="005F6900" w:rsidP="005F6900">
      <w:pPr>
        <w:pStyle w:val="ListParagraph"/>
        <w:numPr>
          <w:ilvl w:val="0"/>
          <w:numId w:val="34"/>
        </w:numPr>
        <w:jc w:val="both"/>
      </w:pPr>
      <w:r w:rsidRPr="005B0548">
        <w:t xml:space="preserve">OECD – </w:t>
      </w:r>
      <w:proofErr w:type="spellStart"/>
      <w:r w:rsidRPr="005B0548">
        <w:t>Financing</w:t>
      </w:r>
      <w:proofErr w:type="spellEnd"/>
      <w:r w:rsidRPr="005B0548">
        <w:t xml:space="preserve"> </w:t>
      </w:r>
      <w:proofErr w:type="spellStart"/>
      <w:r w:rsidRPr="005B0548">
        <w:t>SMEs</w:t>
      </w:r>
      <w:proofErr w:type="spellEnd"/>
      <w:r w:rsidRPr="005B0548">
        <w:t xml:space="preserve"> </w:t>
      </w:r>
      <w:proofErr w:type="spellStart"/>
      <w:r w:rsidRPr="005B0548">
        <w:t>for</w:t>
      </w:r>
      <w:proofErr w:type="spellEnd"/>
      <w:r w:rsidRPr="005B0548">
        <w:t xml:space="preserve"> </w:t>
      </w:r>
      <w:proofErr w:type="spellStart"/>
      <w:r w:rsidRPr="005B0548">
        <w:t>Sustainability</w:t>
      </w:r>
      <w:proofErr w:type="spellEnd"/>
    </w:p>
    <w:p w14:paraId="4E075ED4" w14:textId="77777777" w:rsidR="005F6900" w:rsidRPr="005B0548" w:rsidRDefault="005F6900" w:rsidP="005F6900">
      <w:pPr>
        <w:pStyle w:val="ListParagraph"/>
        <w:numPr>
          <w:ilvl w:val="0"/>
          <w:numId w:val="34"/>
        </w:numPr>
        <w:jc w:val="both"/>
      </w:pPr>
      <w:r w:rsidRPr="005B0548">
        <w:t>GIZ / EU4Green / UNDP – Практични приручници и водичи за одрживо пословање и финансирање у региону Западног Балкана</w:t>
      </w:r>
    </w:p>
    <w:p w14:paraId="0BCDC59C" w14:textId="77777777" w:rsidR="005F6900" w:rsidRPr="005B0548" w:rsidRDefault="005F6900" w:rsidP="005F6900">
      <w:pPr>
        <w:pStyle w:val="ListParagraph"/>
        <w:numPr>
          <w:ilvl w:val="0"/>
          <w:numId w:val="34"/>
        </w:numPr>
        <w:jc w:val="both"/>
      </w:pPr>
      <w:r w:rsidRPr="005B0548">
        <w:t xml:space="preserve">Европска комисија – </w:t>
      </w:r>
      <w:proofErr w:type="spellStart"/>
      <w:r w:rsidRPr="005B0548">
        <w:t>Sustainable</w:t>
      </w:r>
      <w:proofErr w:type="spellEnd"/>
      <w:r w:rsidRPr="005B0548">
        <w:t xml:space="preserve"> </w:t>
      </w:r>
      <w:proofErr w:type="spellStart"/>
      <w:r w:rsidRPr="005B0548">
        <w:t>Finance</w:t>
      </w:r>
      <w:proofErr w:type="spellEnd"/>
      <w:r w:rsidRPr="005B0548">
        <w:t xml:space="preserve"> </w:t>
      </w:r>
      <w:proofErr w:type="spellStart"/>
      <w:r w:rsidRPr="005B0548">
        <w:t>and</w:t>
      </w:r>
      <w:proofErr w:type="spellEnd"/>
      <w:r w:rsidRPr="005B0548">
        <w:t xml:space="preserve"> ESG </w:t>
      </w:r>
      <w:proofErr w:type="spellStart"/>
      <w:r w:rsidRPr="005B0548">
        <w:t>Disclosures</w:t>
      </w:r>
      <w:proofErr w:type="spellEnd"/>
      <w:r w:rsidRPr="005B0548">
        <w:t xml:space="preserve"> </w:t>
      </w:r>
    </w:p>
    <w:p w14:paraId="702295EF" w14:textId="77777777" w:rsidR="005F6900" w:rsidRPr="005B0548" w:rsidRDefault="005F6900" w:rsidP="005F6900">
      <w:pPr>
        <w:pStyle w:val="ListParagraph"/>
        <w:numPr>
          <w:ilvl w:val="0"/>
          <w:numId w:val="34"/>
        </w:numPr>
        <w:jc w:val="both"/>
      </w:pPr>
      <w:r w:rsidRPr="005B0548">
        <w:t xml:space="preserve">OECD – </w:t>
      </w:r>
      <w:proofErr w:type="spellStart"/>
      <w:r w:rsidRPr="005B0548">
        <w:t>Environmental</w:t>
      </w:r>
      <w:proofErr w:type="spellEnd"/>
      <w:r w:rsidRPr="005B0548">
        <w:t xml:space="preserve"> </w:t>
      </w:r>
      <w:proofErr w:type="spellStart"/>
      <w:r w:rsidRPr="005B0548">
        <w:t>and</w:t>
      </w:r>
      <w:proofErr w:type="spellEnd"/>
      <w:r w:rsidRPr="005B0548">
        <w:t xml:space="preserve"> </w:t>
      </w:r>
      <w:proofErr w:type="spellStart"/>
      <w:r w:rsidRPr="005B0548">
        <w:t>Social</w:t>
      </w:r>
      <w:proofErr w:type="spellEnd"/>
      <w:r w:rsidRPr="005B0548">
        <w:t xml:space="preserve"> </w:t>
      </w:r>
      <w:proofErr w:type="spellStart"/>
      <w:r w:rsidRPr="005B0548">
        <w:t>Risk</w:t>
      </w:r>
      <w:proofErr w:type="spellEnd"/>
      <w:r w:rsidRPr="005B0548">
        <w:t xml:space="preserve"> Management </w:t>
      </w:r>
      <w:proofErr w:type="spellStart"/>
      <w:r w:rsidRPr="005B0548">
        <w:t>for</w:t>
      </w:r>
      <w:proofErr w:type="spellEnd"/>
      <w:r w:rsidRPr="005B0548">
        <w:t xml:space="preserve"> </w:t>
      </w:r>
      <w:proofErr w:type="spellStart"/>
      <w:r w:rsidRPr="005B0548">
        <w:t>SMEs</w:t>
      </w:r>
      <w:proofErr w:type="spellEnd"/>
      <w:r w:rsidRPr="005B0548">
        <w:t xml:space="preserve"> </w:t>
      </w:r>
    </w:p>
    <w:p w14:paraId="79DEEEBA" w14:textId="77777777" w:rsidR="005F6900" w:rsidRPr="005B0548" w:rsidRDefault="005F6900" w:rsidP="005F6900">
      <w:pPr>
        <w:pStyle w:val="ListParagraph"/>
        <w:numPr>
          <w:ilvl w:val="0"/>
          <w:numId w:val="34"/>
        </w:numPr>
        <w:jc w:val="both"/>
      </w:pPr>
      <w:r w:rsidRPr="005B0548">
        <w:t xml:space="preserve">GIZ / EU4Green – </w:t>
      </w:r>
      <w:proofErr w:type="spellStart"/>
      <w:r w:rsidRPr="005B0548">
        <w:t>Priručnici</w:t>
      </w:r>
      <w:proofErr w:type="spellEnd"/>
      <w:r w:rsidRPr="005B0548">
        <w:t xml:space="preserve"> </w:t>
      </w:r>
      <w:proofErr w:type="spellStart"/>
      <w:r w:rsidRPr="005B0548">
        <w:t>za</w:t>
      </w:r>
      <w:proofErr w:type="spellEnd"/>
      <w:r w:rsidRPr="005B0548">
        <w:t xml:space="preserve"> </w:t>
      </w:r>
      <w:proofErr w:type="spellStart"/>
      <w:r w:rsidRPr="005B0548">
        <w:t>zelenu</w:t>
      </w:r>
      <w:proofErr w:type="spellEnd"/>
      <w:r w:rsidRPr="005B0548">
        <w:t xml:space="preserve"> </w:t>
      </w:r>
      <w:proofErr w:type="spellStart"/>
      <w:r w:rsidRPr="005B0548">
        <w:t>ekonomију</w:t>
      </w:r>
      <w:proofErr w:type="spellEnd"/>
      <w:r w:rsidRPr="005B0548">
        <w:t xml:space="preserve"> и одрживо пословање за МСП</w:t>
      </w:r>
    </w:p>
    <w:p w14:paraId="78794DFA" w14:textId="77777777" w:rsidR="005F6900" w:rsidRPr="005B0548" w:rsidRDefault="005F6900" w:rsidP="005F6900">
      <w:pPr>
        <w:pStyle w:val="ListParagraph"/>
        <w:numPr>
          <w:ilvl w:val="0"/>
          <w:numId w:val="34"/>
        </w:numPr>
        <w:jc w:val="both"/>
      </w:pPr>
      <w:r w:rsidRPr="005B0548">
        <w:t xml:space="preserve">UN </w:t>
      </w:r>
      <w:proofErr w:type="spellStart"/>
      <w:r w:rsidRPr="005B0548">
        <w:t>Global</w:t>
      </w:r>
      <w:proofErr w:type="spellEnd"/>
      <w:r w:rsidRPr="005B0548">
        <w:t xml:space="preserve"> </w:t>
      </w:r>
      <w:proofErr w:type="spellStart"/>
      <w:r w:rsidRPr="005B0548">
        <w:t>Compact</w:t>
      </w:r>
      <w:proofErr w:type="spellEnd"/>
      <w:r w:rsidRPr="005B0548">
        <w:t xml:space="preserve"> – ESG </w:t>
      </w:r>
      <w:proofErr w:type="spellStart"/>
      <w:r w:rsidRPr="005B0548">
        <w:t>Reporting</w:t>
      </w:r>
      <w:proofErr w:type="spellEnd"/>
      <w:r w:rsidRPr="005B0548">
        <w:t xml:space="preserve"> </w:t>
      </w:r>
      <w:proofErr w:type="spellStart"/>
      <w:r w:rsidRPr="005B0548">
        <w:t>for</w:t>
      </w:r>
      <w:proofErr w:type="spellEnd"/>
      <w:r w:rsidRPr="005B0548">
        <w:t xml:space="preserve"> </w:t>
      </w:r>
      <w:proofErr w:type="spellStart"/>
      <w:r w:rsidRPr="005B0548">
        <w:t>Small</w:t>
      </w:r>
      <w:proofErr w:type="spellEnd"/>
      <w:r w:rsidRPr="005B0548">
        <w:t xml:space="preserve"> </w:t>
      </w:r>
      <w:proofErr w:type="spellStart"/>
      <w:r w:rsidRPr="005B0548">
        <w:t>Businesses</w:t>
      </w:r>
      <w:proofErr w:type="spellEnd"/>
    </w:p>
    <w:p w14:paraId="60B16C20" w14:textId="77777777" w:rsidR="005F6900" w:rsidRPr="005B0548" w:rsidRDefault="005F6900" w:rsidP="005F6900">
      <w:pPr>
        <w:pStyle w:val="ListParagraph"/>
        <w:numPr>
          <w:ilvl w:val="0"/>
          <w:numId w:val="34"/>
        </w:numPr>
        <w:jc w:val="both"/>
      </w:pPr>
      <w:proofErr w:type="spellStart"/>
      <w:r w:rsidRPr="005B0548">
        <w:t>International</w:t>
      </w:r>
      <w:proofErr w:type="spellEnd"/>
      <w:r w:rsidRPr="005B0548">
        <w:t xml:space="preserve"> </w:t>
      </w:r>
      <w:proofErr w:type="spellStart"/>
      <w:r w:rsidRPr="005B0548">
        <w:t>Finance</w:t>
      </w:r>
      <w:proofErr w:type="spellEnd"/>
      <w:r w:rsidRPr="005B0548">
        <w:t xml:space="preserve"> </w:t>
      </w:r>
      <w:proofErr w:type="spellStart"/>
      <w:r w:rsidRPr="005B0548">
        <w:t>Corporation</w:t>
      </w:r>
      <w:proofErr w:type="spellEnd"/>
      <w:r w:rsidRPr="005B0548">
        <w:t xml:space="preserve"> (IFC) – </w:t>
      </w:r>
      <w:proofErr w:type="spellStart"/>
      <w:r w:rsidRPr="005B0548">
        <w:t>Performance</w:t>
      </w:r>
      <w:proofErr w:type="spellEnd"/>
      <w:r w:rsidRPr="005B0548">
        <w:t xml:space="preserve"> </w:t>
      </w:r>
      <w:proofErr w:type="spellStart"/>
      <w:r w:rsidRPr="005B0548">
        <w:t>Standards</w:t>
      </w:r>
      <w:proofErr w:type="spellEnd"/>
      <w:r w:rsidRPr="005B0548">
        <w:t xml:space="preserve"> </w:t>
      </w:r>
      <w:proofErr w:type="spellStart"/>
      <w:r w:rsidRPr="005B0548">
        <w:t>on</w:t>
      </w:r>
      <w:proofErr w:type="spellEnd"/>
      <w:r w:rsidRPr="005B0548">
        <w:t xml:space="preserve"> </w:t>
      </w:r>
      <w:proofErr w:type="spellStart"/>
      <w:r w:rsidRPr="005B0548">
        <w:t>Environmental</w:t>
      </w:r>
      <w:proofErr w:type="spellEnd"/>
      <w:r w:rsidRPr="005B0548">
        <w:t xml:space="preserve"> </w:t>
      </w:r>
      <w:proofErr w:type="spellStart"/>
      <w:r w:rsidRPr="005B0548">
        <w:t>and</w:t>
      </w:r>
      <w:proofErr w:type="spellEnd"/>
      <w:r w:rsidRPr="005B0548">
        <w:t xml:space="preserve"> </w:t>
      </w:r>
      <w:proofErr w:type="spellStart"/>
      <w:r w:rsidRPr="005B0548">
        <w:t>Social</w:t>
      </w:r>
      <w:proofErr w:type="spellEnd"/>
      <w:r w:rsidRPr="005B0548">
        <w:t xml:space="preserve"> </w:t>
      </w:r>
      <w:proofErr w:type="spellStart"/>
      <w:r w:rsidRPr="005B0548">
        <w:t>Sustainability</w:t>
      </w:r>
      <w:proofErr w:type="spellEnd"/>
    </w:p>
    <w:p w14:paraId="118DEEA8" w14:textId="77777777" w:rsidR="005F6900" w:rsidRPr="005B0548" w:rsidRDefault="005F6900" w:rsidP="005F6900">
      <w:pPr>
        <w:pStyle w:val="ListParagraph"/>
        <w:numPr>
          <w:ilvl w:val="0"/>
          <w:numId w:val="34"/>
        </w:numPr>
        <w:jc w:val="both"/>
      </w:pPr>
      <w:r w:rsidRPr="005B0548">
        <w:t>EIB (</w:t>
      </w:r>
      <w:proofErr w:type="spellStart"/>
      <w:r w:rsidRPr="005B0548">
        <w:t>European</w:t>
      </w:r>
      <w:proofErr w:type="spellEnd"/>
      <w:r w:rsidRPr="005B0548">
        <w:t xml:space="preserve"> </w:t>
      </w:r>
      <w:proofErr w:type="spellStart"/>
      <w:r w:rsidRPr="005B0548">
        <w:t>Investment</w:t>
      </w:r>
      <w:proofErr w:type="spellEnd"/>
      <w:r w:rsidRPr="005B0548">
        <w:t xml:space="preserve"> </w:t>
      </w:r>
      <w:proofErr w:type="spellStart"/>
      <w:r w:rsidRPr="005B0548">
        <w:t>Bank</w:t>
      </w:r>
      <w:proofErr w:type="spellEnd"/>
      <w:r w:rsidRPr="005B0548">
        <w:t xml:space="preserve">) – </w:t>
      </w:r>
      <w:proofErr w:type="spellStart"/>
      <w:r w:rsidRPr="005B0548">
        <w:t>Green</w:t>
      </w:r>
      <w:proofErr w:type="spellEnd"/>
      <w:r w:rsidRPr="005B0548">
        <w:t xml:space="preserve"> </w:t>
      </w:r>
      <w:proofErr w:type="spellStart"/>
      <w:r w:rsidRPr="005B0548">
        <w:t>and</w:t>
      </w:r>
      <w:proofErr w:type="spellEnd"/>
      <w:r w:rsidRPr="005B0548">
        <w:t xml:space="preserve"> </w:t>
      </w:r>
      <w:proofErr w:type="spellStart"/>
      <w:r w:rsidRPr="005B0548">
        <w:t>Sustainability</w:t>
      </w:r>
      <w:proofErr w:type="spellEnd"/>
      <w:r w:rsidRPr="005B0548">
        <w:t xml:space="preserve"> </w:t>
      </w:r>
      <w:proofErr w:type="spellStart"/>
      <w:r w:rsidRPr="005B0548">
        <w:t>Funding</w:t>
      </w:r>
      <w:proofErr w:type="spellEnd"/>
      <w:r w:rsidRPr="005B0548">
        <w:t xml:space="preserve"> </w:t>
      </w:r>
      <w:proofErr w:type="spellStart"/>
      <w:r w:rsidRPr="005B0548">
        <w:t>Guidelines</w:t>
      </w:r>
      <w:proofErr w:type="spellEnd"/>
    </w:p>
    <w:p w14:paraId="0D094D25" w14:textId="77777777" w:rsidR="005F6900" w:rsidRDefault="005F6900" w:rsidP="005F6900"/>
    <w:p w14:paraId="38E13B11" w14:textId="77777777" w:rsidR="005F6900" w:rsidRPr="00E524F9" w:rsidRDefault="005F6900" w:rsidP="005F6900">
      <w:pPr>
        <w:pStyle w:val="Heading1"/>
        <w:spacing w:before="0" w:after="0"/>
        <w:rPr>
          <w:rFonts w:asciiTheme="minorHAnsi" w:hAnsiTheme="minorHAnsi" w:cstheme="minorHAnsi"/>
          <w:b/>
          <w:bCs/>
          <w:color w:val="auto"/>
          <w:sz w:val="22"/>
          <w:szCs w:val="22"/>
        </w:rPr>
      </w:pPr>
      <w:bookmarkStart w:id="15" w:name="_Toc195167996"/>
      <w:r w:rsidRPr="00E524F9">
        <w:rPr>
          <w:rFonts w:asciiTheme="minorHAnsi" w:hAnsiTheme="minorHAnsi" w:cstheme="minorHAnsi"/>
          <w:b/>
          <w:bCs/>
          <w:color w:val="auto"/>
          <w:sz w:val="22"/>
          <w:szCs w:val="22"/>
        </w:rPr>
        <w:t>6. Прилози</w:t>
      </w:r>
      <w:bookmarkEnd w:id="15"/>
    </w:p>
    <w:p w14:paraId="0F8577F4" w14:textId="77777777" w:rsidR="00144C17" w:rsidRDefault="00144C17" w:rsidP="005F6900">
      <w:pPr>
        <w:rPr>
          <w:b/>
        </w:rPr>
      </w:pPr>
      <w:bookmarkStart w:id="16" w:name="_Hlk191536376"/>
    </w:p>
    <w:p w14:paraId="0B7913B6" w14:textId="44411312" w:rsidR="005F6900" w:rsidRPr="00E524F9" w:rsidRDefault="005F6900" w:rsidP="005F6900">
      <w:pPr>
        <w:rPr>
          <w:b/>
        </w:rPr>
      </w:pPr>
      <w:r w:rsidRPr="00E524F9">
        <w:rPr>
          <w:b/>
        </w:rPr>
        <w:t>Алати за зелено финансирање пословања:</w:t>
      </w:r>
    </w:p>
    <w:p w14:paraId="3EF5D80D" w14:textId="77777777" w:rsidR="005F6900" w:rsidRPr="005B0548" w:rsidRDefault="005F6900" w:rsidP="005F6900"/>
    <w:p w14:paraId="113989A4" w14:textId="77777777" w:rsidR="00E524F9" w:rsidRDefault="00E524F9" w:rsidP="00E524F9">
      <w:pPr>
        <w:pStyle w:val="ListParagraph"/>
        <w:numPr>
          <w:ilvl w:val="0"/>
          <w:numId w:val="21"/>
        </w:numPr>
        <w:jc w:val="both"/>
      </w:pPr>
      <w:bookmarkStart w:id="17" w:name="_Hlk195167914"/>
      <w:bookmarkStart w:id="18" w:name="_Hlk195168194"/>
      <w:bookmarkEnd w:id="16"/>
      <w:r w:rsidRPr="00792EEB">
        <w:t>Примери добре праксе финансирања зеленим финансијским инструментима</w:t>
      </w:r>
      <w:r>
        <w:t xml:space="preserve"> у Србији</w:t>
      </w:r>
    </w:p>
    <w:p w14:paraId="3F1057AA" w14:textId="05C3C1B8" w:rsidR="00E524F9" w:rsidRDefault="00E524F9" w:rsidP="00F96050">
      <w:pPr>
        <w:pStyle w:val="ListParagraph"/>
        <w:numPr>
          <w:ilvl w:val="0"/>
          <w:numId w:val="21"/>
        </w:numPr>
        <w:jc w:val="both"/>
      </w:pPr>
      <w:r w:rsidRPr="005B0548">
        <w:t xml:space="preserve">Преглед извора финансирања </w:t>
      </w:r>
      <w:r w:rsidR="002D14DE">
        <w:t xml:space="preserve">за </w:t>
      </w:r>
      <w:r>
        <w:t>МСП</w:t>
      </w:r>
      <w:r w:rsidR="002D14DE">
        <w:t xml:space="preserve">-а у Србији. </w:t>
      </w:r>
    </w:p>
    <w:p w14:paraId="54C4D9BA" w14:textId="1B1492E9" w:rsidR="00E524F9" w:rsidRPr="005B0548" w:rsidRDefault="00E524F9" w:rsidP="00910AD2">
      <w:pPr>
        <w:pStyle w:val="ListParagraph"/>
        <w:numPr>
          <w:ilvl w:val="0"/>
          <w:numId w:val="21"/>
        </w:numPr>
        <w:jc w:val="both"/>
      </w:pPr>
      <w:r w:rsidRPr="007B39C0">
        <w:t xml:space="preserve">Контролна листа интерне процене испуњености </w:t>
      </w:r>
      <w:r>
        <w:t>ESG (</w:t>
      </w:r>
      <w:proofErr w:type="spellStart"/>
      <w:r>
        <w:t>Environmental</w:t>
      </w:r>
      <w:proofErr w:type="spellEnd"/>
      <w:r>
        <w:t xml:space="preserve">, </w:t>
      </w:r>
      <w:proofErr w:type="spellStart"/>
      <w:r>
        <w:t>Social</w:t>
      </w:r>
      <w:proofErr w:type="spellEnd"/>
      <w:r>
        <w:t xml:space="preserve"> </w:t>
      </w:r>
      <w:proofErr w:type="spellStart"/>
      <w:r>
        <w:t>and</w:t>
      </w:r>
      <w:proofErr w:type="spellEnd"/>
      <w:r>
        <w:t xml:space="preserve"> </w:t>
      </w:r>
      <w:proofErr w:type="spellStart"/>
      <w:r>
        <w:t>Governance</w:t>
      </w:r>
      <w:proofErr w:type="spellEnd"/>
      <w:r>
        <w:t>)</w:t>
      </w:r>
      <w:r w:rsidRPr="00144C17">
        <w:rPr>
          <w:lang w:val="en-US"/>
        </w:rPr>
        <w:t xml:space="preserve"> </w:t>
      </w:r>
      <w:r w:rsidRPr="007B39C0">
        <w:t>критеријума за зелено финансирање</w:t>
      </w:r>
      <w:bookmarkEnd w:id="17"/>
      <w:r>
        <w:t>.</w:t>
      </w:r>
      <w:bookmarkEnd w:id="18"/>
    </w:p>
    <w:sectPr w:rsidR="00E524F9" w:rsidRPr="005B0548" w:rsidSect="00727819">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998E" w14:textId="77777777" w:rsidR="00631475" w:rsidRDefault="00631475" w:rsidP="008B7759">
      <w:r>
        <w:separator/>
      </w:r>
    </w:p>
  </w:endnote>
  <w:endnote w:type="continuationSeparator" w:id="0">
    <w:p w14:paraId="7729261D" w14:textId="77777777" w:rsidR="00631475" w:rsidRDefault="00631475"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6111DB">
          <w:rPr>
            <w:noProof/>
          </w:rPr>
          <w:t>6</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2AD0" w14:textId="77777777" w:rsidR="00631475" w:rsidRDefault="00631475" w:rsidP="008B7759">
      <w:r>
        <w:separator/>
      </w:r>
    </w:p>
  </w:footnote>
  <w:footnote w:type="continuationSeparator" w:id="0">
    <w:p w14:paraId="0EE8240F" w14:textId="77777777" w:rsidR="00631475" w:rsidRDefault="00631475" w:rsidP="008B7759">
      <w:r>
        <w:continuationSeparator/>
      </w:r>
    </w:p>
  </w:footnote>
  <w:footnote w:id="1">
    <w:p w14:paraId="27F9206E" w14:textId="77777777" w:rsidR="005F6900" w:rsidRDefault="005F6900" w:rsidP="005F6900">
      <w:pPr>
        <w:pStyle w:val="FootnoteText"/>
      </w:pPr>
      <w:bookmarkStart w:id="4" w:name="_Hlk195053548"/>
      <w:r>
        <w:rPr>
          <w:rStyle w:val="FootnoteReference"/>
        </w:rPr>
        <w:footnoteRef/>
      </w:r>
      <w:r>
        <w:rPr>
          <w:lang w:val="sr-Latn-RS"/>
        </w:rPr>
        <w:t xml:space="preserve"> </w:t>
      </w:r>
      <w:r>
        <w:t>Интернет извори:  https://responsiblebusinesshub.pks.rs/ https://responsiblebusinesshub.pks.rs/odrzivo-poslovanje-i-izvori-zelenog-finansiranja/</w:t>
      </w:r>
    </w:p>
    <w:p w14:paraId="1B5DF56E" w14:textId="77777777" w:rsidR="005F6900" w:rsidRDefault="005F6900" w:rsidP="005F6900">
      <w:pPr>
        <w:pStyle w:val="FootnoteText"/>
      </w:pPr>
      <w:r>
        <w:t xml:space="preserve">https://greeninitiative.eco/bs/2025/02/05/finansiranje-principa-zelene-budu%C4%87nosti-za-pra%C4%87enje-ulaganja-u-ubla%C5%BEavanje-klimatskih-promjena/ </w:t>
      </w:r>
    </w:p>
    <w:p w14:paraId="7E9D2BCA" w14:textId="77777777" w:rsidR="005F6900" w:rsidRDefault="005F6900" w:rsidP="005F6900">
      <w:pPr>
        <w:pStyle w:val="FootnoteText"/>
      </w:pPr>
      <w:r>
        <w:t>https://repozitorij.efzg.unizg.hr/islandora/object/</w:t>
      </w:r>
    </w:p>
    <w:p w14:paraId="6EA5D260" w14:textId="77777777" w:rsidR="005F6900" w:rsidRDefault="005F6900" w:rsidP="005F6900">
      <w:pPr>
        <w:pStyle w:val="FootnoteText"/>
      </w:pPr>
      <w:r>
        <w:t>https://alphacapitalis.com/2021/03/11/odrzivo-financiranje-novi-rastuci-trend-na-globalnoj-razini/</w:t>
      </w:r>
    </w:p>
    <w:p w14:paraId="6A849F97" w14:textId="77777777" w:rsidR="005F6900" w:rsidRDefault="005F6900" w:rsidP="005F6900">
      <w:pPr>
        <w:pStyle w:val="FootnoteText"/>
      </w:pPr>
      <w:r>
        <w:t>https://www.economia.rs/zeleno-finansiranje/</w:t>
      </w:r>
    </w:p>
    <w:p w14:paraId="7CEB414A" w14:textId="77777777" w:rsidR="005F6900" w:rsidRPr="00AC37BF" w:rsidRDefault="005F6900" w:rsidP="005F6900">
      <w:pPr>
        <w:pStyle w:val="FootnoteText"/>
        <w:rPr>
          <w:lang w:val="sr-Latn-RS"/>
        </w:rPr>
      </w:pPr>
      <w:r>
        <w:t xml:space="preserve">https://energetskiportal.rs/sta-predstavlja-zeleno-finansiranje-i-za-sta-sve-gradjani-mogu-da-traze-zajmove/ </w:t>
      </w:r>
      <w:bookmarkEnd w:id="4"/>
    </w:p>
  </w:footnote>
  <w:footnote w:id="2">
    <w:p w14:paraId="6834A120" w14:textId="77777777" w:rsidR="005F6900" w:rsidRDefault="005F6900" w:rsidP="005F6900">
      <w:pPr>
        <w:pStyle w:val="FootnoteText"/>
      </w:pPr>
      <w:bookmarkStart w:id="5" w:name="_Hlk195053581"/>
      <w:r>
        <w:rPr>
          <w:rStyle w:val="FootnoteReference"/>
        </w:rPr>
        <w:footnoteRef/>
      </w:r>
      <w:r>
        <w:t xml:space="preserve"> Интернет извори: https://energetskiportal.rs/zeleno-finansiranje-erste-banka-kao-lider-u-odrzivim-investicijama-i-podrsci-energetskoj-efikasnosti</w:t>
      </w:r>
    </w:p>
    <w:p w14:paraId="46164289" w14:textId="77777777" w:rsidR="005F6900" w:rsidRDefault="005F6900" w:rsidP="005F6900">
      <w:pPr>
        <w:pStyle w:val="FootnoteText"/>
      </w:pPr>
      <w:r>
        <w:t>https://greeninitiative.eco/bs/2025/02/05/finansiranje-principa-zelene-budu%C4%87nosti-za-pra%C4%87enje-ulaganja-u-ubla%C5%BEavanje-klimatskih-promjena</w:t>
      </w:r>
    </w:p>
    <w:p w14:paraId="5F03498D" w14:textId="77777777" w:rsidR="005F6900" w:rsidRDefault="005F6900" w:rsidP="005F6900">
      <w:pPr>
        <w:pStyle w:val="FootnoteText"/>
      </w:pPr>
      <w:r>
        <w:t>https://www.cbcg.me/contact-us/javnost-rada/blog/zeleno-finansiranje-korak-ka-dobrobiti-drustva-i-planete</w:t>
      </w:r>
    </w:p>
    <w:p w14:paraId="1C298084" w14:textId="77777777" w:rsidR="005F6900" w:rsidRDefault="005F6900" w:rsidP="005F6900">
      <w:pPr>
        <w:pStyle w:val="FootnoteText"/>
      </w:pPr>
      <w:r>
        <w:t>https://sveonovcu.rs/zeleno-finansiranje-stostruki-rast-u-poslednjoj-deceniji</w:t>
      </w:r>
    </w:p>
    <w:p w14:paraId="7F33F6B4" w14:textId="77777777" w:rsidR="005F6900" w:rsidRDefault="005F6900" w:rsidP="005F6900">
      <w:pPr>
        <w:pStyle w:val="FootnoteText"/>
      </w:pPr>
      <w:r>
        <w:t>https://balkangreenenergynews.com/rs/vise-novca-i-bolji-uslovi-finansiranja-za-zelene-kompanije</w:t>
      </w:r>
    </w:p>
    <w:p w14:paraId="078C64C9" w14:textId="77777777" w:rsidR="005F6900" w:rsidRPr="00AC37BF" w:rsidRDefault="005F6900" w:rsidP="005F6900">
      <w:pPr>
        <w:pStyle w:val="FootnoteText"/>
        <w:rPr>
          <w:lang w:val="sr-Latn-RS"/>
        </w:rPr>
      </w:pPr>
      <w:r>
        <w:t>https://www.economia.rs/zeleno-finansiranje</w:t>
      </w:r>
    </w:p>
    <w:bookmarkEnd w:id="5"/>
  </w:footnote>
  <w:footnote w:id="3">
    <w:p w14:paraId="30031D35" w14:textId="77777777" w:rsidR="005F6900" w:rsidRDefault="005F6900" w:rsidP="005F6900">
      <w:pPr>
        <w:pStyle w:val="FootnoteText"/>
      </w:pPr>
      <w:r>
        <w:rPr>
          <w:rStyle w:val="FootnoteReference"/>
        </w:rPr>
        <w:footnoteRef/>
      </w:r>
      <w:r>
        <w:t xml:space="preserve"> </w:t>
      </w:r>
      <w:bookmarkStart w:id="6" w:name="_Hlk195053616"/>
      <w:r>
        <w:t>Интернет извори: https://www.euzatebe.rs/rs/eu-programi/geff-program-za-zeleno-finansiranje</w:t>
      </w:r>
    </w:p>
    <w:p w14:paraId="028437D9" w14:textId="77777777" w:rsidR="005F6900" w:rsidRDefault="005F6900" w:rsidP="005F6900">
      <w:pPr>
        <w:pStyle w:val="FootnoteText"/>
      </w:pPr>
      <w:r>
        <w:t>https://europa.rs/krediti-za-zeleno-poslovanje-lokalnih-preduzeca</w:t>
      </w:r>
    </w:p>
    <w:p w14:paraId="255F3F26" w14:textId="77777777" w:rsidR="005F6900" w:rsidRDefault="005F6900" w:rsidP="005F6900">
      <w:pPr>
        <w:pStyle w:val="FootnoteText"/>
      </w:pPr>
      <w:r>
        <w:t>https://balkangreenenergynews.com/rs/ggf-odobrio-40-miliona-evra-aik-banci-za-zeleno-finansiranje</w:t>
      </w:r>
    </w:p>
    <w:p w14:paraId="52065AF0" w14:textId="77777777" w:rsidR="005F6900" w:rsidRDefault="005F6900" w:rsidP="005F6900">
      <w:pPr>
        <w:pStyle w:val="FootnoteText"/>
      </w:pPr>
      <w:r>
        <w:t>https://www.undp.org/sr/serbia/news/kako-do-efikasnog-finansiranja-zelene-tranzicije-u-srbiji</w:t>
      </w:r>
    </w:p>
    <w:p w14:paraId="58DB9AA1" w14:textId="77777777" w:rsidR="005F6900" w:rsidRDefault="005F6900" w:rsidP="005F6900">
      <w:pPr>
        <w:pStyle w:val="FootnoteText"/>
      </w:pPr>
      <w:r>
        <w:t>https://www.undp.org/sr/serbia/news/dodatnih-49-miliona-dolara-podrske-za-zeleniju-srbiju</w:t>
      </w:r>
    </w:p>
    <w:p w14:paraId="7BC7EC79" w14:textId="77777777" w:rsidR="005F6900" w:rsidRDefault="005F6900" w:rsidP="005F6900">
      <w:pPr>
        <w:pStyle w:val="FootnoteText"/>
      </w:pPr>
      <w:r>
        <w:t>https://europa.rs/uspesno-zeleno-poslovanje</w:t>
      </w:r>
    </w:p>
    <w:p w14:paraId="3FC7E3EE" w14:textId="77777777" w:rsidR="005F6900" w:rsidRPr="001B7F6B" w:rsidRDefault="005F6900" w:rsidP="005F6900">
      <w:pPr>
        <w:pStyle w:val="FootnoteText"/>
      </w:pPr>
      <w:r>
        <w:t>https://eumogucnosti.rs/kreditna-linija-za-zeleno-finansiranje-geff-program/</w:t>
      </w:r>
      <w:bookmarkEnd w:id="6"/>
    </w:p>
  </w:footnote>
  <w:footnote w:id="4">
    <w:p w14:paraId="727FF29B" w14:textId="77777777" w:rsidR="005F6900" w:rsidRDefault="005F6900" w:rsidP="005F6900">
      <w:pPr>
        <w:pStyle w:val="FootnoteText"/>
      </w:pPr>
      <w:r>
        <w:rPr>
          <w:rStyle w:val="FootnoteReference"/>
        </w:rPr>
        <w:footnoteRef/>
      </w:r>
      <w:r>
        <w:t xml:space="preserve"> </w:t>
      </w:r>
      <w:r>
        <w:t xml:space="preserve">Европска комисија – </w:t>
      </w:r>
      <w:proofErr w:type="spellStart"/>
      <w:r>
        <w:t>Sustainable</w:t>
      </w:r>
      <w:proofErr w:type="spellEnd"/>
      <w:r>
        <w:t xml:space="preserve"> </w:t>
      </w:r>
      <w:proofErr w:type="spellStart"/>
      <w:r>
        <w:t>Finance</w:t>
      </w:r>
      <w:proofErr w:type="spellEnd"/>
      <w:r>
        <w:t xml:space="preserve"> </w:t>
      </w:r>
      <w:proofErr w:type="spellStart"/>
      <w:r>
        <w:t>and</w:t>
      </w:r>
      <w:proofErr w:type="spellEnd"/>
      <w:r>
        <w:t xml:space="preserve"> ESG </w:t>
      </w:r>
      <w:proofErr w:type="spellStart"/>
      <w:r>
        <w:t>Disclosures</w:t>
      </w:r>
      <w:proofErr w:type="spellEnd"/>
      <w:r>
        <w:t xml:space="preserve"> </w:t>
      </w:r>
      <w:hyperlink r:id="rId1" w:history="1">
        <w:r w:rsidRPr="00A14EA2">
          <w:rPr>
            <w:rStyle w:val="Hyperlink"/>
          </w:rPr>
          <w:t>https://finance.ec.europa.eu</w:t>
        </w:r>
      </w:hyperlink>
      <w:r>
        <w:t xml:space="preserve">  </w:t>
      </w:r>
    </w:p>
    <w:p w14:paraId="318B19A6" w14:textId="77777777" w:rsidR="005F6900" w:rsidRDefault="005F6900" w:rsidP="005F6900">
      <w:pPr>
        <w:pStyle w:val="FootnoteText"/>
      </w:pPr>
      <w:r>
        <w:t xml:space="preserve">OECD – </w:t>
      </w:r>
      <w:proofErr w:type="spellStart"/>
      <w:r>
        <w:t>Environmental</w:t>
      </w:r>
      <w:proofErr w:type="spellEnd"/>
      <w:r>
        <w:t xml:space="preserve"> </w:t>
      </w:r>
      <w:proofErr w:type="spellStart"/>
      <w:r>
        <w:t>and</w:t>
      </w:r>
      <w:proofErr w:type="spellEnd"/>
      <w:r>
        <w:t xml:space="preserve"> </w:t>
      </w:r>
      <w:proofErr w:type="spellStart"/>
      <w:r>
        <w:t>Social</w:t>
      </w:r>
      <w:proofErr w:type="spellEnd"/>
      <w:r>
        <w:t xml:space="preserve"> </w:t>
      </w:r>
      <w:proofErr w:type="spellStart"/>
      <w:r>
        <w:t>Risk</w:t>
      </w:r>
      <w:proofErr w:type="spellEnd"/>
      <w:r>
        <w:t xml:space="preserve"> Management </w:t>
      </w:r>
      <w:proofErr w:type="spellStart"/>
      <w:r>
        <w:t>for</w:t>
      </w:r>
      <w:proofErr w:type="spellEnd"/>
      <w:r>
        <w:t xml:space="preserve"> </w:t>
      </w:r>
      <w:proofErr w:type="spellStart"/>
      <w:r>
        <w:t>SMEs</w:t>
      </w:r>
      <w:proofErr w:type="spellEnd"/>
      <w:r>
        <w:t xml:space="preserve"> </w:t>
      </w:r>
      <w:hyperlink r:id="rId2" w:history="1">
        <w:r w:rsidRPr="00A14EA2">
          <w:rPr>
            <w:rStyle w:val="Hyperlink"/>
          </w:rPr>
          <w:t>https://www.oecd.org/sme/</w:t>
        </w:r>
      </w:hyperlink>
      <w:r>
        <w:t xml:space="preserve">  </w:t>
      </w:r>
    </w:p>
    <w:p w14:paraId="4063BA2A" w14:textId="77777777" w:rsidR="005F6900" w:rsidRDefault="005F6900" w:rsidP="005F6900">
      <w:pPr>
        <w:pStyle w:val="FootnoteText"/>
      </w:pPr>
      <w:r>
        <w:t xml:space="preserve">GIZ / EU4Green – </w:t>
      </w:r>
      <w:proofErr w:type="spellStart"/>
      <w:r>
        <w:t>Priručnici</w:t>
      </w:r>
      <w:proofErr w:type="spellEnd"/>
      <w:r>
        <w:t xml:space="preserve"> </w:t>
      </w:r>
      <w:proofErr w:type="spellStart"/>
      <w:r>
        <w:t>za</w:t>
      </w:r>
      <w:proofErr w:type="spellEnd"/>
      <w:r>
        <w:t xml:space="preserve"> </w:t>
      </w:r>
      <w:proofErr w:type="spellStart"/>
      <w:r>
        <w:t>zelenu</w:t>
      </w:r>
      <w:proofErr w:type="spellEnd"/>
      <w:r>
        <w:t xml:space="preserve"> </w:t>
      </w:r>
      <w:proofErr w:type="spellStart"/>
      <w:r>
        <w:t>ekonomију</w:t>
      </w:r>
      <w:proofErr w:type="spellEnd"/>
      <w:r>
        <w:t xml:space="preserve"> и одрживо пословање за МСП</w:t>
      </w:r>
    </w:p>
    <w:p w14:paraId="4CE9B453" w14:textId="77777777" w:rsidR="005F6900" w:rsidRDefault="005F6900" w:rsidP="005F6900">
      <w:pPr>
        <w:pStyle w:val="FootnoteText"/>
      </w:pPr>
      <w:r>
        <w:t xml:space="preserve">UN </w:t>
      </w:r>
      <w:proofErr w:type="spellStart"/>
      <w:r>
        <w:t>Global</w:t>
      </w:r>
      <w:proofErr w:type="spellEnd"/>
      <w:r>
        <w:t xml:space="preserve"> </w:t>
      </w:r>
      <w:proofErr w:type="spellStart"/>
      <w:r>
        <w:t>Compact</w:t>
      </w:r>
      <w:proofErr w:type="spellEnd"/>
      <w:r>
        <w:t xml:space="preserve"> – ESG </w:t>
      </w:r>
      <w:proofErr w:type="spellStart"/>
      <w:r>
        <w:t>Reporting</w:t>
      </w:r>
      <w:proofErr w:type="spellEnd"/>
      <w:r>
        <w:t xml:space="preserve"> </w:t>
      </w:r>
      <w:proofErr w:type="spellStart"/>
      <w:r>
        <w:t>for</w:t>
      </w:r>
      <w:proofErr w:type="spellEnd"/>
      <w:r>
        <w:t xml:space="preserve"> </w:t>
      </w:r>
      <w:proofErr w:type="spellStart"/>
      <w:r>
        <w:t>Small</w:t>
      </w:r>
      <w:proofErr w:type="spellEnd"/>
      <w:r>
        <w:t xml:space="preserve"> </w:t>
      </w:r>
      <w:proofErr w:type="spellStart"/>
      <w:r>
        <w:t>Businesses</w:t>
      </w:r>
      <w:proofErr w:type="spellEnd"/>
    </w:p>
    <w:p w14:paraId="3CB7B08A" w14:textId="77777777" w:rsidR="005F6900" w:rsidRDefault="005F6900" w:rsidP="005F6900">
      <w:pPr>
        <w:pStyle w:val="FootnoteText"/>
      </w:pPr>
      <w:proofErr w:type="spellStart"/>
      <w:r>
        <w:t>International</w:t>
      </w:r>
      <w:proofErr w:type="spellEnd"/>
      <w:r>
        <w:t xml:space="preserve"> </w:t>
      </w:r>
      <w:proofErr w:type="spellStart"/>
      <w:r>
        <w:t>Finance</w:t>
      </w:r>
      <w:proofErr w:type="spellEnd"/>
      <w:r>
        <w:t xml:space="preserve"> </w:t>
      </w:r>
      <w:proofErr w:type="spellStart"/>
      <w:r>
        <w:t>Corporation</w:t>
      </w:r>
      <w:proofErr w:type="spellEnd"/>
      <w:r>
        <w:t xml:space="preserve"> (IFC) – </w:t>
      </w:r>
      <w:proofErr w:type="spellStart"/>
      <w:r>
        <w:t>Performance</w:t>
      </w:r>
      <w:proofErr w:type="spellEnd"/>
      <w:r>
        <w:t xml:space="preserve"> </w:t>
      </w:r>
      <w:proofErr w:type="spellStart"/>
      <w:r>
        <w:t>Standards</w:t>
      </w:r>
      <w:proofErr w:type="spellEnd"/>
      <w:r>
        <w:t xml:space="preserve"> </w:t>
      </w:r>
      <w:proofErr w:type="spellStart"/>
      <w:r>
        <w:t>on</w:t>
      </w:r>
      <w:proofErr w:type="spellEnd"/>
      <w:r>
        <w:t xml:space="preserve"> </w:t>
      </w:r>
      <w:proofErr w:type="spellStart"/>
      <w:r>
        <w:t>Environmental</w:t>
      </w:r>
      <w:proofErr w:type="spellEnd"/>
      <w:r>
        <w:t xml:space="preserve"> </w:t>
      </w:r>
      <w:proofErr w:type="spellStart"/>
      <w:r>
        <w:t>and</w:t>
      </w:r>
      <w:proofErr w:type="spellEnd"/>
      <w:r>
        <w:t xml:space="preserve"> </w:t>
      </w:r>
      <w:proofErr w:type="spellStart"/>
      <w:r>
        <w:t>Social</w:t>
      </w:r>
      <w:proofErr w:type="spellEnd"/>
      <w:r>
        <w:t xml:space="preserve"> </w:t>
      </w:r>
      <w:proofErr w:type="spellStart"/>
      <w:r>
        <w:t>Sustainability</w:t>
      </w:r>
      <w:proofErr w:type="spellEnd"/>
    </w:p>
    <w:p w14:paraId="6DFC768C" w14:textId="77777777" w:rsidR="005F6900" w:rsidRDefault="005F6900" w:rsidP="005F6900">
      <w:pPr>
        <w:pStyle w:val="FootnoteText"/>
      </w:pPr>
      <w:r>
        <w:t>EIB (</w:t>
      </w:r>
      <w:proofErr w:type="spellStart"/>
      <w:r>
        <w:t>European</w:t>
      </w:r>
      <w:proofErr w:type="spellEnd"/>
      <w:r>
        <w:t xml:space="preserve"> </w:t>
      </w:r>
      <w:proofErr w:type="spellStart"/>
      <w:r>
        <w:t>Investment</w:t>
      </w:r>
      <w:proofErr w:type="spellEnd"/>
      <w:r>
        <w:t xml:space="preserve"> </w:t>
      </w:r>
      <w:proofErr w:type="spellStart"/>
      <w:r>
        <w:t>Bank</w:t>
      </w:r>
      <w:proofErr w:type="spellEnd"/>
      <w:r>
        <w:t xml:space="preserve">) – </w:t>
      </w:r>
      <w:proofErr w:type="spellStart"/>
      <w:r>
        <w:t>Green</w:t>
      </w:r>
      <w:proofErr w:type="spellEnd"/>
      <w:r>
        <w:t xml:space="preserve"> </w:t>
      </w:r>
      <w:proofErr w:type="spellStart"/>
      <w:r>
        <w:t>and</w:t>
      </w:r>
      <w:proofErr w:type="spellEnd"/>
      <w:r>
        <w:t xml:space="preserve"> </w:t>
      </w:r>
      <w:proofErr w:type="spellStart"/>
      <w:r>
        <w:t>Sustainability</w:t>
      </w:r>
      <w:proofErr w:type="spellEnd"/>
      <w:r>
        <w:t xml:space="preserve"> </w:t>
      </w:r>
      <w:proofErr w:type="spellStart"/>
      <w:r>
        <w:t>Funding</w:t>
      </w:r>
      <w:proofErr w:type="spellEnd"/>
      <w:r>
        <w:t xml:space="preserve"> </w:t>
      </w:r>
      <w:proofErr w:type="spellStart"/>
      <w:r>
        <w:t>Guidelines</w:t>
      </w:r>
      <w:proofErr w:type="spellEnd"/>
    </w:p>
  </w:footnote>
  <w:footnote w:id="5">
    <w:p w14:paraId="095CBF97" w14:textId="77777777" w:rsidR="005F6900" w:rsidRDefault="005F6900" w:rsidP="005F6900">
      <w:pPr>
        <w:pStyle w:val="FootnoteText"/>
      </w:pPr>
      <w:r>
        <w:rPr>
          <w:rStyle w:val="FootnoteReference"/>
        </w:rPr>
        <w:footnoteRef/>
      </w:r>
      <w:r>
        <w:t xml:space="preserve"> </w:t>
      </w:r>
      <w:bookmarkStart w:id="11" w:name="_Hlk195044934"/>
      <w:proofErr w:type="spellStart"/>
      <w:r>
        <w:t>European</w:t>
      </w:r>
      <w:proofErr w:type="spellEnd"/>
      <w:r>
        <w:t xml:space="preserve"> </w:t>
      </w:r>
      <w:proofErr w:type="spellStart"/>
      <w:r>
        <w:t>Commission</w:t>
      </w:r>
      <w:proofErr w:type="spellEnd"/>
      <w:r>
        <w:t xml:space="preserve"> – EU </w:t>
      </w:r>
      <w:proofErr w:type="spellStart"/>
      <w:r>
        <w:t>Taxonomy</w:t>
      </w:r>
      <w:proofErr w:type="spellEnd"/>
      <w:r>
        <w:t xml:space="preserve"> </w:t>
      </w:r>
      <w:proofErr w:type="spellStart"/>
      <w:r>
        <w:t>Compass</w:t>
      </w:r>
      <w:proofErr w:type="spellEnd"/>
      <w:r>
        <w:t>: https://finance.ec.europa.eu/eu-taxonomy-regulation</w:t>
      </w:r>
    </w:p>
    <w:p w14:paraId="462EB888" w14:textId="77777777" w:rsidR="005F6900" w:rsidRDefault="005F6900" w:rsidP="005F6900">
      <w:pPr>
        <w:pStyle w:val="FootnoteText"/>
      </w:pPr>
      <w:proofErr w:type="spellStart"/>
      <w:r>
        <w:t>European</w:t>
      </w:r>
      <w:proofErr w:type="spellEnd"/>
      <w:r>
        <w:t xml:space="preserve"> </w:t>
      </w:r>
      <w:proofErr w:type="spellStart"/>
      <w:r>
        <w:t>Commission</w:t>
      </w:r>
      <w:proofErr w:type="spellEnd"/>
      <w:r>
        <w:t xml:space="preserve"> – </w:t>
      </w:r>
      <w:proofErr w:type="spellStart"/>
      <w:r>
        <w:t>Sustainable</w:t>
      </w:r>
      <w:proofErr w:type="spellEnd"/>
      <w:r>
        <w:t xml:space="preserve"> </w:t>
      </w:r>
      <w:proofErr w:type="spellStart"/>
      <w:r>
        <w:t>Finance</w:t>
      </w:r>
      <w:proofErr w:type="spellEnd"/>
      <w:r>
        <w:t xml:space="preserve"> </w:t>
      </w:r>
      <w:proofErr w:type="spellStart"/>
      <w:r>
        <w:t>Action</w:t>
      </w:r>
      <w:proofErr w:type="spellEnd"/>
      <w:r>
        <w:t xml:space="preserve"> </w:t>
      </w:r>
      <w:proofErr w:type="spellStart"/>
      <w:r>
        <w:t>Plan:https</w:t>
      </w:r>
      <w:proofErr w:type="spellEnd"/>
      <w:r>
        <w:t>://finance.ec.europa.eu/</w:t>
      </w:r>
      <w:proofErr w:type="spellStart"/>
      <w:r>
        <w:t>sustainable-finance</w:t>
      </w:r>
      <w:proofErr w:type="spellEnd"/>
    </w:p>
    <w:p w14:paraId="096A077C" w14:textId="77777777" w:rsidR="005F6900" w:rsidRDefault="005F6900" w:rsidP="005F6900">
      <w:pPr>
        <w:pStyle w:val="FootnoteText"/>
      </w:pPr>
      <w:proofErr w:type="spellStart"/>
      <w:r>
        <w:t>Official</w:t>
      </w:r>
      <w:proofErr w:type="spellEnd"/>
      <w:r>
        <w:t xml:space="preserve"> </w:t>
      </w:r>
      <w:proofErr w:type="spellStart"/>
      <w:r>
        <w:t>Journal</w:t>
      </w:r>
      <w:proofErr w:type="spellEnd"/>
      <w:r>
        <w:t xml:space="preserve"> </w:t>
      </w:r>
      <w:proofErr w:type="spellStart"/>
      <w:r>
        <w:t>of</w:t>
      </w:r>
      <w:proofErr w:type="spellEnd"/>
      <w:r>
        <w:t xml:space="preserve"> </w:t>
      </w:r>
      <w:proofErr w:type="spellStart"/>
      <w:r>
        <w:t>the</w:t>
      </w:r>
      <w:proofErr w:type="spellEnd"/>
      <w:r>
        <w:t xml:space="preserve"> EU – EU </w:t>
      </w:r>
      <w:proofErr w:type="spellStart"/>
      <w:r>
        <w:t>Taxonomy</w:t>
      </w:r>
      <w:proofErr w:type="spellEnd"/>
      <w:r>
        <w:t xml:space="preserve"> </w:t>
      </w:r>
      <w:proofErr w:type="spellStart"/>
      <w:r>
        <w:t>Regulation</w:t>
      </w:r>
      <w:proofErr w:type="spellEnd"/>
      <w:r>
        <w:t xml:space="preserve"> (2020/852)</w:t>
      </w:r>
    </w:p>
    <w:p w14:paraId="43ADDDDD" w14:textId="77777777" w:rsidR="005F6900" w:rsidRDefault="005F6900" w:rsidP="005F6900">
      <w:pPr>
        <w:pStyle w:val="FootnoteText"/>
      </w:pPr>
      <w:r>
        <w:t>https://eur-lex.europa.eu/legal-content/EN/TXT/?uri=CELEX%3A32020R0852</w:t>
      </w:r>
    </w:p>
    <w:p w14:paraId="00253B82" w14:textId="77777777" w:rsidR="005F6900" w:rsidRDefault="005F6900" w:rsidP="005F6900">
      <w:pPr>
        <w:pStyle w:val="FootnoteText"/>
      </w:pPr>
      <w:proofErr w:type="spellStart"/>
      <w:r>
        <w:t>European</w:t>
      </w:r>
      <w:proofErr w:type="spellEnd"/>
      <w:r>
        <w:t xml:space="preserve"> </w:t>
      </w:r>
      <w:proofErr w:type="spellStart"/>
      <w:r>
        <w:t>Investment</w:t>
      </w:r>
      <w:proofErr w:type="spellEnd"/>
      <w:r>
        <w:t xml:space="preserve"> </w:t>
      </w:r>
      <w:proofErr w:type="spellStart"/>
      <w:r>
        <w:t>Bank</w:t>
      </w:r>
      <w:proofErr w:type="spellEnd"/>
      <w:r>
        <w:t xml:space="preserve"> – </w:t>
      </w:r>
      <w:proofErr w:type="spellStart"/>
      <w:r>
        <w:t>Green</w:t>
      </w:r>
      <w:proofErr w:type="spellEnd"/>
      <w:r>
        <w:t xml:space="preserve"> </w:t>
      </w:r>
      <w:proofErr w:type="spellStart"/>
      <w:r>
        <w:t>Finance</w:t>
      </w:r>
      <w:proofErr w:type="spellEnd"/>
      <w:r>
        <w:t>. https://www.eib.org/en/about/priorities/climate-action/index.htm</w:t>
      </w:r>
    </w:p>
    <w:p w14:paraId="2F68A3FF" w14:textId="77777777" w:rsidR="005F6900" w:rsidRDefault="005F6900" w:rsidP="005F6900">
      <w:pPr>
        <w:pStyle w:val="FootnoteText"/>
      </w:pPr>
      <w:r>
        <w:t xml:space="preserve">OECD – </w:t>
      </w:r>
      <w:proofErr w:type="spellStart"/>
      <w:r>
        <w:t>Financing</w:t>
      </w:r>
      <w:proofErr w:type="spellEnd"/>
      <w:r>
        <w:t xml:space="preserve"> </w:t>
      </w:r>
      <w:proofErr w:type="spellStart"/>
      <w:r>
        <w:t>SMEs</w:t>
      </w:r>
      <w:proofErr w:type="spellEnd"/>
      <w:r>
        <w:t xml:space="preserve"> </w:t>
      </w:r>
      <w:proofErr w:type="spellStart"/>
      <w:r>
        <w:t>for</w:t>
      </w:r>
      <w:proofErr w:type="spellEnd"/>
      <w:r>
        <w:t xml:space="preserve"> </w:t>
      </w:r>
      <w:proofErr w:type="spellStart"/>
      <w:r>
        <w:t>Sustainability</w:t>
      </w:r>
      <w:proofErr w:type="spellEnd"/>
    </w:p>
    <w:p w14:paraId="5C684933" w14:textId="77777777" w:rsidR="005F6900" w:rsidRDefault="005F6900" w:rsidP="005F6900">
      <w:pPr>
        <w:pStyle w:val="FootnoteText"/>
      </w:pPr>
      <w:r>
        <w:t>https://www.oecd.org/finance/sustainable-finance-and-smes.htm</w:t>
      </w:r>
    </w:p>
    <w:p w14:paraId="27CD1068" w14:textId="77777777" w:rsidR="005F6900" w:rsidRDefault="005F6900" w:rsidP="005F6900">
      <w:pPr>
        <w:pStyle w:val="FootnoteText"/>
      </w:pPr>
      <w:r>
        <w:t>GIZ / EU4Green / UNDP – Практични приручници и водичи за одрживо пословање и финансирање у региону Западног Балкана</w:t>
      </w:r>
      <w:bookmarkEnd w:id="11"/>
    </w:p>
  </w:footnote>
  <w:footnote w:id="6">
    <w:p w14:paraId="00FB2852" w14:textId="77777777" w:rsidR="005F6900" w:rsidRPr="00B205C7" w:rsidRDefault="005F6900" w:rsidP="005F6900">
      <w:pPr>
        <w:pStyle w:val="FootnoteText"/>
        <w:rPr>
          <w:lang w:val="sr-Latn-RS"/>
        </w:rPr>
      </w:pPr>
      <w:r>
        <w:rPr>
          <w:rStyle w:val="FootnoteReference"/>
        </w:rPr>
        <w:footnoteRef/>
      </w:r>
      <w:r>
        <w:t xml:space="preserve"> </w:t>
      </w:r>
      <w:hyperlink r:id="rId3" w:history="1">
        <w:r w:rsidRPr="00D83A92">
          <w:rPr>
            <w:rStyle w:val="Hyperlink"/>
          </w:rPr>
          <w:t>https://investeu.europa.eu/index_en</w:t>
        </w:r>
      </w:hyperlink>
      <w:r>
        <w:rPr>
          <w:lang w:val="sr-Latn-RS"/>
        </w:rPr>
        <w:t xml:space="preserve"> </w:t>
      </w:r>
    </w:p>
  </w:footnote>
  <w:footnote w:id="7">
    <w:p w14:paraId="3E4690A8" w14:textId="77777777" w:rsidR="005F6900" w:rsidRPr="0089257E" w:rsidRDefault="005F6900" w:rsidP="005F6900">
      <w:pPr>
        <w:pStyle w:val="FootnoteText"/>
        <w:rPr>
          <w:lang w:val="sr-Latn-RS"/>
        </w:rPr>
      </w:pPr>
      <w:r>
        <w:rPr>
          <w:rStyle w:val="FootnoteReference"/>
        </w:rPr>
        <w:footnoteRef/>
      </w:r>
      <w:r>
        <w:t xml:space="preserve"> </w:t>
      </w:r>
      <w:hyperlink r:id="rId4" w:history="1">
        <w:r w:rsidRPr="00D83A92">
          <w:rPr>
            <w:rStyle w:val="Hyperlink"/>
          </w:rPr>
          <w:t>https://ras.gov.rs/kreiraj-zivot/otvoreni-pozivi-konkursi</w:t>
        </w:r>
      </w:hyperlink>
      <w:r>
        <w:t xml:space="preserve"> </w:t>
      </w:r>
    </w:p>
  </w:footnote>
  <w:footnote w:id="8">
    <w:p w14:paraId="34283FB8" w14:textId="77777777" w:rsidR="005F6900" w:rsidRDefault="005F6900" w:rsidP="005F6900">
      <w:pPr>
        <w:pStyle w:val="FootnoteText"/>
      </w:pPr>
      <w:r>
        <w:rPr>
          <w:rStyle w:val="FootnoteReference"/>
        </w:rPr>
        <w:footnoteRef/>
      </w:r>
      <w:r>
        <w:t xml:space="preserve"> </w:t>
      </w:r>
      <w:r w:rsidRPr="003E66DB">
        <w:t xml:space="preserve">: </w:t>
      </w:r>
      <w:hyperlink r:id="rId5" w:history="1">
        <w:r w:rsidRPr="00D83A92">
          <w:rPr>
            <w:rStyle w:val="Hyperlink"/>
          </w:rPr>
          <w:t>https://ipa-bgrs.mrrb.bg/en/term/24/node/98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B1EFB"/>
    <w:multiLevelType w:val="hybridMultilevel"/>
    <w:tmpl w:val="8E947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E55B1"/>
    <w:multiLevelType w:val="hybridMultilevel"/>
    <w:tmpl w:val="70280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900822"/>
    <w:multiLevelType w:val="hybridMultilevel"/>
    <w:tmpl w:val="4BF8C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F41B8"/>
    <w:multiLevelType w:val="hybridMultilevel"/>
    <w:tmpl w:val="233061FA"/>
    <w:lvl w:ilvl="0" w:tplc="04090011">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BD283E"/>
    <w:multiLevelType w:val="hybridMultilevel"/>
    <w:tmpl w:val="3654B36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B2801D1"/>
    <w:multiLevelType w:val="hybridMultilevel"/>
    <w:tmpl w:val="97701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73784"/>
    <w:multiLevelType w:val="multilevel"/>
    <w:tmpl w:val="F9A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C6DA4"/>
    <w:multiLevelType w:val="hybridMultilevel"/>
    <w:tmpl w:val="1A1AA9F8"/>
    <w:lvl w:ilvl="0" w:tplc="53F8C4CC">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B9D50D0"/>
    <w:multiLevelType w:val="hybridMultilevel"/>
    <w:tmpl w:val="13C60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A1CA3"/>
    <w:multiLevelType w:val="hybridMultilevel"/>
    <w:tmpl w:val="BF664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E6623"/>
    <w:multiLevelType w:val="hybridMultilevel"/>
    <w:tmpl w:val="D30AD7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2765F4"/>
    <w:multiLevelType w:val="multilevel"/>
    <w:tmpl w:val="BEF0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83F0A"/>
    <w:multiLevelType w:val="hybridMultilevel"/>
    <w:tmpl w:val="69B0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0C0717"/>
    <w:multiLevelType w:val="hybridMultilevel"/>
    <w:tmpl w:val="3B48A1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76486B"/>
    <w:multiLevelType w:val="hybridMultilevel"/>
    <w:tmpl w:val="F4A619A2"/>
    <w:lvl w:ilvl="0" w:tplc="E6F84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D1AEB"/>
    <w:multiLevelType w:val="hybridMultilevel"/>
    <w:tmpl w:val="BD166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8D7B08"/>
    <w:multiLevelType w:val="hybridMultilevel"/>
    <w:tmpl w:val="595EC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124A26"/>
    <w:multiLevelType w:val="hybridMultilevel"/>
    <w:tmpl w:val="A5926BF8"/>
    <w:lvl w:ilvl="0" w:tplc="A372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E3B02"/>
    <w:multiLevelType w:val="hybridMultilevel"/>
    <w:tmpl w:val="EA6E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46DB"/>
    <w:multiLevelType w:val="hybridMultilevel"/>
    <w:tmpl w:val="E4BA6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1B0741"/>
    <w:multiLevelType w:val="hybridMultilevel"/>
    <w:tmpl w:val="34D09256"/>
    <w:lvl w:ilvl="0" w:tplc="FFFFFFFF">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730054"/>
    <w:multiLevelType w:val="multilevel"/>
    <w:tmpl w:val="76F2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82CA5"/>
    <w:multiLevelType w:val="hybridMultilevel"/>
    <w:tmpl w:val="FCAAA8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33C25"/>
    <w:multiLevelType w:val="hybridMultilevel"/>
    <w:tmpl w:val="304E6DEA"/>
    <w:lvl w:ilvl="0" w:tplc="49E09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F6585A"/>
    <w:multiLevelType w:val="multilevel"/>
    <w:tmpl w:val="4ED0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423C4"/>
    <w:multiLevelType w:val="hybridMultilevel"/>
    <w:tmpl w:val="1682FEE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9877AD"/>
    <w:multiLevelType w:val="hybridMultilevel"/>
    <w:tmpl w:val="09321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0612F8"/>
    <w:multiLevelType w:val="hybridMultilevel"/>
    <w:tmpl w:val="AE16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B41CE2"/>
    <w:multiLevelType w:val="hybridMultilevel"/>
    <w:tmpl w:val="A1C6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721AD"/>
    <w:multiLevelType w:val="hybridMultilevel"/>
    <w:tmpl w:val="5B28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2E75CD"/>
    <w:multiLevelType w:val="hybridMultilevel"/>
    <w:tmpl w:val="2D3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129B9"/>
    <w:multiLevelType w:val="hybridMultilevel"/>
    <w:tmpl w:val="D8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64517"/>
    <w:multiLevelType w:val="hybridMultilevel"/>
    <w:tmpl w:val="739A6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FF242B"/>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84032E"/>
    <w:multiLevelType w:val="hybridMultilevel"/>
    <w:tmpl w:val="50868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8B30D1"/>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EA76FA"/>
    <w:multiLevelType w:val="hybridMultilevel"/>
    <w:tmpl w:val="73949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4E7094"/>
    <w:multiLevelType w:val="multilevel"/>
    <w:tmpl w:val="498E4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212A1"/>
    <w:multiLevelType w:val="hybridMultilevel"/>
    <w:tmpl w:val="DA5219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A94316"/>
    <w:multiLevelType w:val="hybridMultilevel"/>
    <w:tmpl w:val="C21C2C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112040">
    <w:abstractNumId w:val="38"/>
  </w:num>
  <w:num w:numId="2" w16cid:durableId="1586264855">
    <w:abstractNumId w:val="0"/>
  </w:num>
  <w:num w:numId="3" w16cid:durableId="1109085054">
    <w:abstractNumId w:val="36"/>
  </w:num>
  <w:num w:numId="4" w16cid:durableId="1570767584">
    <w:abstractNumId w:val="28"/>
  </w:num>
  <w:num w:numId="5" w16cid:durableId="989361303">
    <w:abstractNumId w:val="41"/>
  </w:num>
  <w:num w:numId="6" w16cid:durableId="489489276">
    <w:abstractNumId w:val="18"/>
  </w:num>
  <w:num w:numId="7" w16cid:durableId="1531725227">
    <w:abstractNumId w:val="39"/>
  </w:num>
  <w:num w:numId="8" w16cid:durableId="758912708">
    <w:abstractNumId w:val="29"/>
  </w:num>
  <w:num w:numId="9" w16cid:durableId="508913816">
    <w:abstractNumId w:val="44"/>
  </w:num>
  <w:num w:numId="10" w16cid:durableId="126171819">
    <w:abstractNumId w:val="33"/>
  </w:num>
  <w:num w:numId="11" w16cid:durableId="498546449">
    <w:abstractNumId w:val="34"/>
  </w:num>
  <w:num w:numId="12" w16cid:durableId="2119904619">
    <w:abstractNumId w:val="32"/>
  </w:num>
  <w:num w:numId="13" w16cid:durableId="1009063490">
    <w:abstractNumId w:val="26"/>
  </w:num>
  <w:num w:numId="14" w16cid:durableId="1883861919">
    <w:abstractNumId w:val="40"/>
  </w:num>
  <w:num w:numId="15" w16cid:durableId="1323702597">
    <w:abstractNumId w:val="37"/>
  </w:num>
  <w:num w:numId="16" w16cid:durableId="1100182636">
    <w:abstractNumId w:val="19"/>
  </w:num>
  <w:num w:numId="17" w16cid:durableId="1915318246">
    <w:abstractNumId w:val="8"/>
  </w:num>
  <w:num w:numId="18" w16cid:durableId="453057353">
    <w:abstractNumId w:val="30"/>
  </w:num>
  <w:num w:numId="19" w16cid:durableId="437024047">
    <w:abstractNumId w:val="16"/>
  </w:num>
  <w:num w:numId="20" w16cid:durableId="1973635648">
    <w:abstractNumId w:val="13"/>
  </w:num>
  <w:num w:numId="21" w16cid:durableId="371077595">
    <w:abstractNumId w:val="20"/>
  </w:num>
  <w:num w:numId="22" w16cid:durableId="195046292">
    <w:abstractNumId w:val="22"/>
  </w:num>
  <w:num w:numId="23" w16cid:durableId="1580406996">
    <w:abstractNumId w:val="4"/>
  </w:num>
  <w:num w:numId="24" w16cid:durableId="1681741631">
    <w:abstractNumId w:val="3"/>
  </w:num>
  <w:num w:numId="25" w16cid:durableId="2067027680">
    <w:abstractNumId w:val="17"/>
  </w:num>
  <w:num w:numId="26" w16cid:durableId="1012563">
    <w:abstractNumId w:val="9"/>
  </w:num>
  <w:num w:numId="27" w16cid:durableId="1335765493">
    <w:abstractNumId w:val="2"/>
  </w:num>
  <w:num w:numId="28" w16cid:durableId="288169320">
    <w:abstractNumId w:val="23"/>
  </w:num>
  <w:num w:numId="29" w16cid:durableId="1829395150">
    <w:abstractNumId w:val="31"/>
  </w:num>
  <w:num w:numId="30" w16cid:durableId="652830152">
    <w:abstractNumId w:val="11"/>
  </w:num>
  <w:num w:numId="31" w16cid:durableId="1714228080">
    <w:abstractNumId w:val="43"/>
  </w:num>
  <w:num w:numId="32" w16cid:durableId="1377703288">
    <w:abstractNumId w:val="21"/>
  </w:num>
  <w:num w:numId="33" w16cid:durableId="1818842377">
    <w:abstractNumId w:val="15"/>
  </w:num>
  <w:num w:numId="34" w16cid:durableId="2113427167">
    <w:abstractNumId w:val="14"/>
  </w:num>
  <w:num w:numId="35" w16cid:durableId="1227913757">
    <w:abstractNumId w:val="7"/>
  </w:num>
  <w:num w:numId="36" w16cid:durableId="385640324">
    <w:abstractNumId w:val="1"/>
  </w:num>
  <w:num w:numId="37" w16cid:durableId="1675766825">
    <w:abstractNumId w:val="42"/>
  </w:num>
  <w:num w:numId="38" w16cid:durableId="691152521">
    <w:abstractNumId w:val="35"/>
  </w:num>
  <w:num w:numId="39" w16cid:durableId="556085722">
    <w:abstractNumId w:val="5"/>
  </w:num>
  <w:num w:numId="40" w16cid:durableId="44254065">
    <w:abstractNumId w:val="6"/>
  </w:num>
  <w:num w:numId="41" w16cid:durableId="441992429">
    <w:abstractNumId w:val="10"/>
  </w:num>
  <w:num w:numId="42" w16cid:durableId="910503284">
    <w:abstractNumId w:val="25"/>
  </w:num>
  <w:num w:numId="43" w16cid:durableId="1517571564">
    <w:abstractNumId w:val="24"/>
  </w:num>
  <w:num w:numId="44" w16cid:durableId="988631911">
    <w:abstractNumId w:val="12"/>
  </w:num>
  <w:num w:numId="45" w16cid:durableId="77660876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29D"/>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4C17"/>
    <w:rsid w:val="00147025"/>
    <w:rsid w:val="00150864"/>
    <w:rsid w:val="0015215F"/>
    <w:rsid w:val="001521D8"/>
    <w:rsid w:val="001521F5"/>
    <w:rsid w:val="001531BD"/>
    <w:rsid w:val="00161144"/>
    <w:rsid w:val="001622A1"/>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8626A"/>
    <w:rsid w:val="0029328D"/>
    <w:rsid w:val="00293662"/>
    <w:rsid w:val="0029640C"/>
    <w:rsid w:val="002B5C60"/>
    <w:rsid w:val="002B77AA"/>
    <w:rsid w:val="002C508E"/>
    <w:rsid w:val="002C6231"/>
    <w:rsid w:val="002C645C"/>
    <w:rsid w:val="002C7A6D"/>
    <w:rsid w:val="002D0BF6"/>
    <w:rsid w:val="002D14DE"/>
    <w:rsid w:val="002D22CC"/>
    <w:rsid w:val="002D2D7A"/>
    <w:rsid w:val="002D5E4C"/>
    <w:rsid w:val="002D7F4D"/>
    <w:rsid w:val="002E23DE"/>
    <w:rsid w:val="002E3BC1"/>
    <w:rsid w:val="002E64F9"/>
    <w:rsid w:val="002F2115"/>
    <w:rsid w:val="002F7752"/>
    <w:rsid w:val="003009B0"/>
    <w:rsid w:val="0030161C"/>
    <w:rsid w:val="00310E70"/>
    <w:rsid w:val="00313D4E"/>
    <w:rsid w:val="003158B7"/>
    <w:rsid w:val="003161BF"/>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B18A0"/>
    <w:rsid w:val="003B25FF"/>
    <w:rsid w:val="003B4318"/>
    <w:rsid w:val="003B7F7A"/>
    <w:rsid w:val="003C2B93"/>
    <w:rsid w:val="003C3875"/>
    <w:rsid w:val="003C5024"/>
    <w:rsid w:val="003C6408"/>
    <w:rsid w:val="003D21A7"/>
    <w:rsid w:val="003D4703"/>
    <w:rsid w:val="003E39CA"/>
    <w:rsid w:val="003E54A3"/>
    <w:rsid w:val="003F4395"/>
    <w:rsid w:val="003F4554"/>
    <w:rsid w:val="003F52D8"/>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548"/>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900"/>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1475"/>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1F8F"/>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2B83"/>
    <w:rsid w:val="007C3BA8"/>
    <w:rsid w:val="007C3E4F"/>
    <w:rsid w:val="007C422A"/>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2898"/>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64963"/>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126A5"/>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15C9"/>
    <w:rsid w:val="00C85410"/>
    <w:rsid w:val="00C85635"/>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296"/>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24F9"/>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0BA4"/>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styleId="UnresolvedMention">
    <w:name w:val="Unresolved Mention"/>
    <w:basedOn w:val="DefaultParagraphFont"/>
    <w:uiPriority w:val="99"/>
    <w:semiHidden/>
    <w:unhideWhenUsed/>
    <w:rsid w:val="00FE4E03"/>
    <w:rPr>
      <w:color w:val="605E5C"/>
      <w:shd w:val="clear" w:color="auto" w:fill="E1DFDD"/>
    </w:rPr>
  </w:style>
  <w:style w:type="character" w:customStyle="1" w:styleId="UnresolvedMention3">
    <w:name w:val="Unresolved Mention3"/>
    <w:basedOn w:val="DefaultParagraphFont"/>
    <w:uiPriority w:val="99"/>
    <w:semiHidden/>
    <w:unhideWhenUsed/>
    <w:rsid w:val="00D02296"/>
    <w:rPr>
      <w:color w:val="605E5C"/>
      <w:shd w:val="clear" w:color="auto" w:fill="E1DFDD"/>
    </w:rPr>
  </w:style>
  <w:style w:type="paragraph" w:styleId="TOC3">
    <w:name w:val="toc 3"/>
    <w:basedOn w:val="Normal"/>
    <w:next w:val="Normal"/>
    <w:autoRedefine/>
    <w:uiPriority w:val="39"/>
    <w:unhideWhenUsed/>
    <w:rsid w:val="005F6900"/>
    <w:pPr>
      <w:spacing w:after="100"/>
      <w:ind w:left="440"/>
    </w:pPr>
  </w:style>
  <w:style w:type="paragraph" w:styleId="NoSpacing">
    <w:name w:val="No Spacing"/>
    <w:uiPriority w:val="1"/>
    <w:qFormat/>
    <w:rsid w:val="005F6900"/>
    <w:rPr>
      <w:kern w:val="0"/>
      <w:lang w:val="sr-Cyrl-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duzetnistvo.gov.rs/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duzetnistvo.gov.rs/programi-podrske/"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investeu.europa.eu/index_en" TargetMode="External"/><Relationship Id="rId2" Type="http://schemas.openxmlformats.org/officeDocument/2006/relationships/hyperlink" Target="https://www.oecd.org/sme/" TargetMode="External"/><Relationship Id="rId1" Type="http://schemas.openxmlformats.org/officeDocument/2006/relationships/hyperlink" Target="https://finance.ec.europa.eu" TargetMode="External"/><Relationship Id="rId5" Type="http://schemas.openxmlformats.org/officeDocument/2006/relationships/hyperlink" Target="https://ipa-bgrs.mrrb.bg/en/term/24/node/98" TargetMode="External"/><Relationship Id="rId4" Type="http://schemas.openxmlformats.org/officeDocument/2006/relationships/hyperlink" Target="https://ras.gov.rs/kreiraj-zivot/otvoreni-pozivi-konkur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834E3"/>
    <w:rsid w:val="00090C24"/>
    <w:rsid w:val="000A3D24"/>
    <w:rsid w:val="000B18BC"/>
    <w:rsid w:val="000C6560"/>
    <w:rsid w:val="000E2F62"/>
    <w:rsid w:val="001301F7"/>
    <w:rsid w:val="0015172F"/>
    <w:rsid w:val="001837B4"/>
    <w:rsid w:val="001A5373"/>
    <w:rsid w:val="001A6BDF"/>
    <w:rsid w:val="001E033A"/>
    <w:rsid w:val="00200518"/>
    <w:rsid w:val="00203FD0"/>
    <w:rsid w:val="0021624E"/>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61F8F"/>
    <w:rsid w:val="00782A89"/>
    <w:rsid w:val="007B5A0C"/>
    <w:rsid w:val="007C2B83"/>
    <w:rsid w:val="007C3BA8"/>
    <w:rsid w:val="007C422A"/>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9F33BA"/>
    <w:rsid w:val="00A1728F"/>
    <w:rsid w:val="00A50A52"/>
    <w:rsid w:val="00A62DCC"/>
    <w:rsid w:val="00A64278"/>
    <w:rsid w:val="00A73B14"/>
    <w:rsid w:val="00A9515B"/>
    <w:rsid w:val="00A97703"/>
    <w:rsid w:val="00AD064C"/>
    <w:rsid w:val="00AF7193"/>
    <w:rsid w:val="00B2030A"/>
    <w:rsid w:val="00B2035F"/>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B3D82"/>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3E86-12EB-423F-A941-D969A01C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6338</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10</cp:revision>
  <cp:lastPrinted>2025-01-02T09:22:00Z</cp:lastPrinted>
  <dcterms:created xsi:type="dcterms:W3CDTF">2025-03-19T07:07:00Z</dcterms:created>
  <dcterms:modified xsi:type="dcterms:W3CDTF">2025-04-10T07:03:00Z</dcterms:modified>
</cp:coreProperties>
</file>